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11" w:rsidRPr="002D6FDE" w:rsidRDefault="00B81F11" w:rsidP="00B81F11">
      <w:pPr>
        <w:adjustRightInd w:val="0"/>
        <w:snapToGrid w:val="0"/>
        <w:spacing w:line="600" w:lineRule="exact"/>
        <w:jc w:val="left"/>
        <w:rPr>
          <w:rFonts w:ascii="Times New Roman" w:eastAsia="黑体" w:hAnsi="Times New Roman" w:cs="Times New Roman"/>
          <w:bCs/>
          <w:szCs w:val="32"/>
        </w:rPr>
      </w:pPr>
      <w:r w:rsidRPr="002D6FDE">
        <w:rPr>
          <w:rFonts w:ascii="Times New Roman" w:eastAsia="黑体" w:hAnsi="Times New Roman" w:cs="Times New Roman"/>
          <w:bCs/>
          <w:szCs w:val="32"/>
        </w:rPr>
        <w:t>附件</w:t>
      </w:r>
    </w:p>
    <w:p w:rsidR="00B81F11" w:rsidRPr="002D6FDE" w:rsidRDefault="00B81F11" w:rsidP="00B81F11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2D6FDE">
        <w:rPr>
          <w:rFonts w:ascii="Times New Roman" w:eastAsia="方正小标宋_GBK" w:hAnsi="Times New Roman" w:cs="Times New Roman"/>
          <w:sz w:val="36"/>
          <w:szCs w:val="36"/>
        </w:rPr>
        <w:t>四川省工程技术研究中心评估结果表</w:t>
      </w:r>
    </w:p>
    <w:tbl>
      <w:tblPr>
        <w:tblStyle w:val="a5"/>
        <w:tblW w:w="504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235"/>
        <w:gridCol w:w="3414"/>
        <w:gridCol w:w="1438"/>
        <w:gridCol w:w="538"/>
      </w:tblGrid>
      <w:tr w:rsidR="00B81F11" w:rsidRPr="002D6FDE" w:rsidTr="00B81F11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b/>
                <w:sz w:val="21"/>
                <w:szCs w:val="21"/>
              </w:rPr>
            </w:pPr>
            <w:r w:rsidRPr="002D6FDE">
              <w:rPr>
                <w:rFonts w:eastAsia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b/>
                <w:sz w:val="21"/>
                <w:szCs w:val="21"/>
              </w:rPr>
            </w:pPr>
            <w:r w:rsidRPr="002D6FDE">
              <w:rPr>
                <w:rFonts w:eastAsia="仿宋_GB2312"/>
                <w:b/>
                <w:sz w:val="21"/>
                <w:szCs w:val="21"/>
              </w:rPr>
              <w:t>中心名称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b/>
                <w:sz w:val="21"/>
                <w:szCs w:val="21"/>
              </w:rPr>
            </w:pPr>
            <w:r w:rsidRPr="002D6FDE">
              <w:rPr>
                <w:rFonts w:eastAsia="仿宋_GB2312"/>
                <w:b/>
                <w:sz w:val="21"/>
                <w:szCs w:val="21"/>
              </w:rPr>
              <w:t>依托单位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b/>
                <w:sz w:val="21"/>
                <w:szCs w:val="21"/>
              </w:rPr>
            </w:pPr>
            <w:r w:rsidRPr="002D6FDE">
              <w:rPr>
                <w:rFonts w:eastAsia="仿宋_GB2312"/>
                <w:b/>
                <w:sz w:val="21"/>
                <w:szCs w:val="21"/>
              </w:rPr>
              <w:t>主管部门</w:t>
            </w:r>
            <w:r w:rsidRPr="002D6FDE">
              <w:rPr>
                <w:rFonts w:eastAsia="仿宋_GB2312"/>
                <w:b/>
                <w:noProof/>
                <w:sz w:val="21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28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FDE">
              <w:rPr>
                <w:rFonts w:eastAsia="仿宋_GB2312"/>
                <w:b/>
                <w:sz w:val="21"/>
                <w:szCs w:val="21"/>
              </w:rPr>
              <w:t xml:space="preserve"> </w:t>
            </w:r>
            <w:r w:rsidRPr="002D6FDE">
              <w:rPr>
                <w:rFonts w:eastAsia="仿宋_GB2312"/>
                <w:b/>
                <w:noProof/>
                <w:sz w:val="21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2" name="图片 288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8" descr="IMG_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b/>
                <w:sz w:val="21"/>
                <w:szCs w:val="21"/>
              </w:rPr>
            </w:pPr>
            <w:r w:rsidRPr="002D6FDE">
              <w:rPr>
                <w:rFonts w:eastAsia="仿宋_GB2312"/>
                <w:b/>
                <w:sz w:val="21"/>
                <w:szCs w:val="21"/>
              </w:rPr>
              <w:t>评估结果</w:t>
            </w:r>
          </w:p>
        </w:tc>
      </w:tr>
      <w:tr w:rsidR="00B81F11" w:rsidRPr="002D6FDE" w:rsidTr="00695E00">
        <w:trPr>
          <w:trHeight w:val="10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四川省有机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氟工程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中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昊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晨光化工研究院有限公司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自贡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优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四川省水产工程技术研究中心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通威股份有限公司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优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四川省高效安全新型饲料工程技术研究中心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新希望集团有限公司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优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四川省先进焊接及表面工程技术研究中心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西南交通大学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优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四川省低维复合材料工程技术研究中心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西南交通大学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优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四川省磁性材料工程技术研究中心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西南应用磁学研究所</w:t>
            </w:r>
          </w:p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(</w:t>
            </w:r>
            <w:r w:rsidRPr="002D6FDE">
              <w:rPr>
                <w:rFonts w:eastAsia="仿宋_GB2312"/>
                <w:sz w:val="21"/>
                <w:szCs w:val="21"/>
              </w:rPr>
              <w:t>中国电子科技集团公司第九研究所</w:t>
            </w:r>
            <w:r w:rsidRPr="002D6FDE">
              <w:rPr>
                <w:rFonts w:eastAsia="仿宋_GB2312"/>
                <w:sz w:val="21"/>
                <w:szCs w:val="21"/>
              </w:rPr>
              <w:t>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绵阳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优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四川省纳米科技应用工程技术研究中心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优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四川省肉牛工程技术研究中心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四川美宁食品有限公司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遂宁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优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9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四川省氢同位素工程技术研究中心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中国工程物理研究院材料研究所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中国工程物理研究院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bookmarkStart w:id="0" w:name="_Hlk533779870"/>
            <w:r w:rsidRPr="002D6FDE">
              <w:rPr>
                <w:rFonts w:eastAsia="仿宋_GB2312"/>
                <w:sz w:val="21"/>
                <w:szCs w:val="21"/>
              </w:rPr>
              <w:t>10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四川省沼气工程技术研究中心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农业部沼气科学研究所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11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四川省微波毫米波工程技术研究中心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电子科技大学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12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四川省食品发酵工程技术研究中心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四川省食品发酵工业研究设计院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13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四川省道地药材系统开发工程技术研究中心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四川省中医药科学院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省中医药局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14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四川省山区减灾工程技术研究中心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中国科学院、水利部成都山地灾害与环境研究所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四川省现代服务科技工程技术研究中心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西南交通大学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16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四川省轨道交通制动工程技术研究中心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眉山中车制动科技股份有限公司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眉山市科技局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17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四川省民用爆炸物品及装备工程技术研究中心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四川雅化实业集团股份有限公司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proofErr w:type="gramStart"/>
            <w:r w:rsidRPr="002D6FDE">
              <w:rPr>
                <w:rFonts w:eastAsia="仿宋_GB2312"/>
                <w:sz w:val="21"/>
                <w:szCs w:val="21"/>
              </w:rPr>
              <w:t>雅安市科知局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18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四川省生态保护与建设工程技术研究中心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19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四川省信息安全工程技术研究中心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中国电子科技集团公司第三十研究所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20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四川省茶业工程技术研究中心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四川省茶业集团股份有限公司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宜宾市科技局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lastRenderedPageBreak/>
              <w:t>21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四川省钒钛材料工程技术研究中心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攀枝花学院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攀枝花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22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四川省机床数控工程技术研究中心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四川省绵阳西南自动化研究所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绵阳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23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四川省体外诊断产品工程技术研究中心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迈克生物股份有限公司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24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四川省纺织工程技术研究中心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四川省纺织科学研究院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25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四川省制盐工程技术研究中心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四川久大制盐有限责任公司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自贡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26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四川省现代产业测试与标准工程技术研究中心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中测测试科技有限公司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中国测试技术研究院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27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四川省丝绸工程技术研究中心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四川省丝绸科学研究院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28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四川省中药饮片炮制工程技术研究中心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四川新荷花中药饮片股份有限公司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29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四川省有色金属矿产资源开发工程技术研究中心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四川省有色科技集团有限责任公司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省国有资产监督管理委员会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30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四川省专用复合肥料工程技术研究中心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四川省农业科学院土壤肥料研究所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省农科院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31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四川省中药配方颗粒工程技术研究中心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四川新绿色药业科技发展有限公司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32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四川省杂交水稻商业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化育种工程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四川西科种业股份有限公司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绵阳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bookmarkEnd w:id="0"/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33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四川省木工机械工程技术研究中心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四川省青城机械有限公司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眉山市科技局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34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四川省兔业工程技术研究中心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四川省哈哥兔业有限公司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乐山市科技局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35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四川省农业生物技术工程研究中心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四川农业大学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教育厅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良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36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</w:t>
            </w:r>
            <w:r w:rsidRPr="002D6FDE">
              <w:rPr>
                <w:rFonts w:eastAsia="仿宋_GB2312"/>
                <w:sz w:val="21"/>
                <w:szCs w:val="21"/>
              </w:rPr>
              <w:t>CNG</w:t>
            </w:r>
            <w:r w:rsidRPr="002D6FDE">
              <w:rPr>
                <w:rFonts w:eastAsia="仿宋_GB2312"/>
                <w:sz w:val="21"/>
                <w:szCs w:val="21"/>
              </w:rPr>
              <w:t>加气站装备工程技术研究中心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四川金星清洁能源装备股份有限公司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37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四川省疫苗工程技术研究中心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成都生物制品研究所有限责任公司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38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四川省蚕桑丝绸工程技术研究中心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四川南充市丝绸</w:t>
            </w:r>
            <w:r w:rsidRPr="002D6FDE">
              <w:rPr>
                <w:rFonts w:eastAsia="仿宋_GB2312"/>
                <w:sz w:val="21"/>
                <w:szCs w:val="21"/>
              </w:rPr>
              <w:t>(</w:t>
            </w:r>
            <w:r w:rsidRPr="002D6FDE">
              <w:rPr>
                <w:rFonts w:eastAsia="仿宋_GB2312"/>
                <w:sz w:val="21"/>
                <w:szCs w:val="21"/>
              </w:rPr>
              <w:t>进出口</w:t>
            </w:r>
            <w:r w:rsidRPr="002D6FDE">
              <w:rPr>
                <w:rFonts w:eastAsia="仿宋_GB2312"/>
                <w:sz w:val="21"/>
                <w:szCs w:val="21"/>
              </w:rPr>
              <w:t>)</w:t>
            </w:r>
            <w:r w:rsidRPr="002D6FDE">
              <w:rPr>
                <w:rFonts w:eastAsia="仿宋_GB2312"/>
                <w:sz w:val="21"/>
                <w:szCs w:val="21"/>
              </w:rPr>
              <w:t>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南充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39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四川省气象探测技术及装备工程技术研究中心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成都信息工程大学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教育厅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40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四川省优质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鸡工程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四川大恒家禽育种有限公司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41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仿创药物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成都睿智化学研究有限公司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42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四川省辐照工程技术研究中心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四川省原子能研究院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43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四川省乳业工程技术研究中心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新希望乳业股份有限公司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44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四川省家电产品绿色制造工程技术研究中心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四川长虹电器股份有限公司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绵阳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45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四川省草甘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膦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清洁生产工程技术研究中心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四川省乐山市福华通达农药科技有限公司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乐山市科技局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46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四川省新兽药工程技术研究中心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成都乾坤动物药业股份有限公司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lastRenderedPageBreak/>
              <w:t>47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四川省南江黄羊工程技术研究中心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四川北牧南江黄羊集团有限公司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巴中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48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四川省新型焊料工程技术研究中心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四川省有色科技集团有限责任公司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省国有资产监督管理委员会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49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四川省绿色建筑与建筑节能工程技术研究中心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四川省建筑科学研究院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50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四川省生物质资源利用与改性工程技术研究中心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西南科技大学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教育厅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51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四川省精细化工工程技术研究中心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四川省精细化工研究设计院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自贡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52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四川省优质生猪产业开发工程技术研究中心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四川高金实业集团有限公司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遂宁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53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四川省对地观测工程技术研究中心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电子科技大学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54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四川省皮革化工材料工程技术研究中心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四川德赛尔化工实业有限公司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proofErr w:type="gramStart"/>
            <w:r w:rsidRPr="002D6FDE">
              <w:rPr>
                <w:rFonts w:eastAsia="仿宋_GB2312"/>
                <w:sz w:val="21"/>
                <w:szCs w:val="21"/>
              </w:rPr>
              <w:t>德阳市科知局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55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四川省生物源农药工程技术研究中心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四川龙蟒福生科技有限责任公司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眉山市科技局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56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四川省风能工程技术研究中心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中国空气动力研究与发展中心低速空气动力研究所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绵阳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57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四川省机动车尾气净化工程技术研究中心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中自环保科技股份有限公司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58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四川省汽车特种橡胶制品工程技术研究中心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四川川环科技股份有限公司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proofErr w:type="gramStart"/>
            <w:r w:rsidRPr="002D6FDE">
              <w:rPr>
                <w:rFonts w:eastAsia="仿宋_GB2312"/>
                <w:sz w:val="21"/>
                <w:szCs w:val="21"/>
              </w:rPr>
              <w:t>达州市科知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59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四川省草业工程技术研究中心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四川省草原科学研究院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农业农村厅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60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四川省马铃薯工程技术研究中心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四川光友薯业有限公司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绵阳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61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四川省调味品添加剂工程技术研究中心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proofErr w:type="gramStart"/>
            <w:r w:rsidRPr="002D6FDE">
              <w:rPr>
                <w:rFonts w:eastAsia="仿宋_GB2312"/>
                <w:sz w:val="21"/>
                <w:szCs w:val="21"/>
              </w:rPr>
              <w:t>千禾味业食品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眉山市科技局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62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四川省雷电防护工程技术研究中心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四川中光防雷科技股份有限公司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63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四川省天然药物分离纯化工程技术研究中心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成都普思生物科技股份有限公司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64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四川省现代物流工程技术研究中心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成都曙光光纤网络有限责任公司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65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四川省泡菜工程技术研究中心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吉香居食品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眉山市科技局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66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四川省变频调速工程技术研究中心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希望森兰科技股份有限公司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67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四川省功能杂环化合物工程技术研究中心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利尔化学股份有限公司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绵阳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68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四川省光纤光缆工程技术研究中心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成都亨通光通信有限公司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69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四川省多晶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硅工程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四川永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祥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多晶硅有限公司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乐山市科技局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70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四川省化妆品工程技术研究中心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四川大学华西医院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71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四川省林木良种繁育工程技术研究中心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四川安龙天然林技术有限责任公司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72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四川省牲畜副产品活性提取物工程</w:t>
            </w:r>
            <w:r w:rsidRPr="002D6FDE">
              <w:rPr>
                <w:rFonts w:eastAsia="仿宋_GB2312"/>
                <w:sz w:val="21"/>
                <w:szCs w:val="21"/>
              </w:rPr>
              <w:lastRenderedPageBreak/>
              <w:t>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lastRenderedPageBreak/>
              <w:t>四川德博尔制药有限公司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proofErr w:type="gramStart"/>
            <w:r w:rsidRPr="002D6FDE">
              <w:rPr>
                <w:rFonts w:eastAsia="仿宋_GB2312"/>
                <w:sz w:val="21"/>
                <w:szCs w:val="21"/>
              </w:rPr>
              <w:t>德阳市科知局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lastRenderedPageBreak/>
              <w:t>73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四川省物联网工程技术研究中心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成都高新物联网技术应用工程中心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74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四川省高钛型高炉渣工程技术研究中心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攀枝花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环业冶金渣开发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有限责任公司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攀枝花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75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低碳醇醚脂化工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四川天采科技有限责任公司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76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四川省药品包装材料工程技术研究中心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崇州君健塑胶有限公司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77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四川省川菜特色调味品工程技术研究中心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四川省郫县豆瓣股份有限公司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合格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78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四川省数字广播电视设备工程技术研究中心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凯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腾四方数字广播电视设备有限公司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整改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79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四川省玻璃纤维工程技术研究中心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巨石集团成都有限公司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整改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80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四川省高原中藏药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材工程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成都恩威投资</w:t>
            </w:r>
            <w:r w:rsidRPr="002D6FDE">
              <w:rPr>
                <w:rFonts w:eastAsia="仿宋_GB2312"/>
                <w:sz w:val="21"/>
                <w:szCs w:val="21"/>
              </w:rPr>
              <w:t>(</w:t>
            </w:r>
            <w:r w:rsidRPr="002D6FDE">
              <w:rPr>
                <w:rFonts w:eastAsia="仿宋_GB2312"/>
                <w:sz w:val="21"/>
                <w:szCs w:val="21"/>
              </w:rPr>
              <w:t>集团</w:t>
            </w:r>
            <w:r w:rsidRPr="002D6FDE">
              <w:rPr>
                <w:rFonts w:eastAsia="仿宋_GB2312"/>
                <w:sz w:val="21"/>
                <w:szCs w:val="21"/>
              </w:rPr>
              <w:t>)</w:t>
            </w:r>
            <w:r w:rsidRPr="002D6FDE">
              <w:rPr>
                <w:rFonts w:eastAsia="仿宋_GB2312"/>
                <w:sz w:val="21"/>
                <w:szCs w:val="21"/>
              </w:rPr>
              <w:t>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整改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81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四川省橡胶机械及废橡胶综合利用工程技术研究中心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四川亚西橡塑机器有限公司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乐山市科技局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整改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82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四川省数字内容保护工程技术研究中心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四川长虹电器股份有限公司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绵阳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整改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83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四川省太阳能聚光应用工程技术研究中心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四川钟顺太阳能开发有限公司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整改</w:t>
            </w:r>
          </w:p>
        </w:tc>
      </w:tr>
      <w:tr w:rsidR="00B81F11" w:rsidRPr="002D6FDE" w:rsidTr="00695E00">
        <w:trPr>
          <w:trHeight w:val="3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84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四川省精密模具工程技术研究中心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成都敏捷制造工程有限公司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整改</w:t>
            </w:r>
          </w:p>
        </w:tc>
      </w:tr>
      <w:tr w:rsidR="00B81F11" w:rsidRPr="002D6FDE" w:rsidTr="00695E00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85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竹材林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浆纸工程技术研究中心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四川永丰纸业股份有限公司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乐山市科技局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整改</w:t>
            </w:r>
          </w:p>
        </w:tc>
      </w:tr>
      <w:tr w:rsidR="00B81F11" w:rsidRPr="002D6FDE" w:rsidTr="00695E00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86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四川省工业水处理工程技术研究中心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成都齐达科技开发有限公司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不及格</w:t>
            </w:r>
          </w:p>
        </w:tc>
      </w:tr>
      <w:tr w:rsidR="00B81F11" w:rsidRPr="002D6FDE" w:rsidTr="00695E00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87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四川省茶业工程技术研究中心名优绿茶分中心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四川省峨眉山竹叶青茶业有限公司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乐山市科技局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不及格</w:t>
            </w:r>
          </w:p>
        </w:tc>
      </w:tr>
      <w:tr w:rsidR="00B81F11" w:rsidRPr="002D6FDE" w:rsidTr="00695E00">
        <w:trPr>
          <w:trHeight w:val="29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88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四川省射频识别</w:t>
            </w:r>
            <w:r w:rsidRPr="002D6FDE">
              <w:rPr>
                <w:rFonts w:eastAsia="仿宋_GB2312"/>
                <w:sz w:val="21"/>
                <w:szCs w:val="21"/>
              </w:rPr>
              <w:t>(RFID)</w:t>
            </w:r>
            <w:r w:rsidRPr="002D6FDE">
              <w:rPr>
                <w:rFonts w:eastAsia="仿宋_GB2312"/>
                <w:sz w:val="21"/>
                <w:szCs w:val="21"/>
              </w:rPr>
              <w:t>技术与应用工程技术研究中心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成都研成科技有限公司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不及格</w:t>
            </w:r>
          </w:p>
        </w:tc>
      </w:tr>
      <w:tr w:rsidR="00B81F11" w:rsidRPr="002D6FDE" w:rsidTr="00695E00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89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四川省聚苯硫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醚工程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四川华通特种工程塑料研究中心有限公司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不及格</w:t>
            </w:r>
          </w:p>
        </w:tc>
      </w:tr>
      <w:tr w:rsidR="00B81F11" w:rsidRPr="002D6FDE" w:rsidTr="00695E00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90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四川省高密度集成器件</w:t>
            </w:r>
            <w:r w:rsidRPr="002D6FDE">
              <w:rPr>
                <w:rFonts w:eastAsia="仿宋_GB2312"/>
                <w:sz w:val="21"/>
                <w:szCs w:val="21"/>
              </w:rPr>
              <w:t>(SIP)</w:t>
            </w:r>
            <w:r w:rsidRPr="002D6FDE">
              <w:rPr>
                <w:rFonts w:eastAsia="仿宋_GB2312"/>
                <w:sz w:val="21"/>
                <w:szCs w:val="21"/>
              </w:rPr>
              <w:t>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电子科技大学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不及格</w:t>
            </w:r>
          </w:p>
        </w:tc>
      </w:tr>
      <w:tr w:rsidR="00B81F11" w:rsidRPr="002D6FDE" w:rsidTr="00695E00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91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四川省数据通信与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灾备工程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电子科技大学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科技厅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不及格</w:t>
            </w:r>
          </w:p>
        </w:tc>
      </w:tr>
      <w:tr w:rsidR="00B81F11" w:rsidRPr="002D6FDE" w:rsidTr="00695E00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92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四川省建筑陶瓷工程技术研究中心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四川建辉陶瓷有限责任公司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乐山市科技局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不及格</w:t>
            </w:r>
          </w:p>
        </w:tc>
      </w:tr>
      <w:tr w:rsidR="00B81F11" w:rsidRPr="002D6FDE" w:rsidTr="00695E00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93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四川省新型耐火材料工程技术研究</w:t>
            </w:r>
            <w:r w:rsidRPr="002D6FDE">
              <w:rPr>
                <w:rFonts w:eastAsia="仿宋_GB2312"/>
                <w:sz w:val="21"/>
                <w:szCs w:val="21"/>
              </w:rPr>
              <w:lastRenderedPageBreak/>
              <w:t>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lastRenderedPageBreak/>
              <w:t>四川省青龙耐火材料有限责任公司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眉山市科技局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</w:t>
            </w:r>
            <w:r w:rsidRPr="002D6FDE">
              <w:rPr>
                <w:rFonts w:eastAsia="仿宋_GB2312"/>
                <w:sz w:val="21"/>
                <w:szCs w:val="21"/>
              </w:rPr>
              <w:lastRenderedPageBreak/>
              <w:t>格</w:t>
            </w:r>
          </w:p>
        </w:tc>
      </w:tr>
      <w:tr w:rsidR="00B81F11" w:rsidRPr="002D6FDE" w:rsidTr="00695E00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lastRenderedPageBreak/>
              <w:t>94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四川省环保油墨工程技术研究中心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成都托展新材料股份有限公司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不及格</w:t>
            </w:r>
          </w:p>
        </w:tc>
      </w:tr>
      <w:tr w:rsidR="00B81F11" w:rsidRPr="002D6FDE" w:rsidTr="00695E00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95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四川省通江银耳工程技术研究中心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巴中市通江银耳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科学技术</w:t>
            </w:r>
            <w:proofErr w:type="gramEnd"/>
            <w:r w:rsidRPr="002D6FDE">
              <w:rPr>
                <w:rFonts w:eastAsia="仿宋_GB2312"/>
                <w:sz w:val="21"/>
                <w:szCs w:val="21"/>
              </w:rPr>
              <w:t>研究所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巴中</w:t>
            </w:r>
            <w:proofErr w:type="gramStart"/>
            <w:r w:rsidRPr="002D6FDE">
              <w:rPr>
                <w:rFonts w:eastAsia="仿宋_GB2312"/>
                <w:sz w:val="21"/>
                <w:szCs w:val="21"/>
              </w:rPr>
              <w:t>市科知局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不及格</w:t>
            </w:r>
          </w:p>
        </w:tc>
      </w:tr>
      <w:tr w:rsidR="00B81F11" w:rsidRPr="002D6FDE" w:rsidTr="00695E00">
        <w:trPr>
          <w:trHeight w:val="1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96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四川省竹材工程技术研究中心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四川林合益竹木新材料有限公司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不及格</w:t>
            </w:r>
          </w:p>
        </w:tc>
      </w:tr>
      <w:tr w:rsidR="00B81F11" w:rsidRPr="002D6FDE" w:rsidTr="00695E00">
        <w:trPr>
          <w:trHeight w:val="15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97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四川省山羊工程技术研究中心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B81F11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四川省简阳大哥大牧业有限公司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2D6FDE" w:rsidRDefault="00B81F11" w:rsidP="00695E00">
            <w:pPr>
              <w:spacing w:line="320" w:lineRule="exact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成都市科技局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2D6FDE" w:rsidRDefault="00B81F11" w:rsidP="00B81F11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2D6FDE">
              <w:rPr>
                <w:rFonts w:eastAsia="仿宋_GB2312"/>
                <w:sz w:val="21"/>
                <w:szCs w:val="21"/>
              </w:rPr>
              <w:t>不及格</w:t>
            </w:r>
          </w:p>
        </w:tc>
      </w:tr>
    </w:tbl>
    <w:p w:rsidR="00B81F11" w:rsidRPr="002D6FDE" w:rsidRDefault="00B81F11" w:rsidP="00B81F1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Cs w:val="32"/>
        </w:rPr>
      </w:pPr>
    </w:p>
    <w:p w:rsidR="00312973" w:rsidRPr="002D6FDE" w:rsidRDefault="00312973" w:rsidP="00312973">
      <w:pPr>
        <w:spacing w:line="560" w:lineRule="exact"/>
        <w:rPr>
          <w:rFonts w:ascii="Times New Roman" w:eastAsia="楷体_GB2312" w:hAnsi="Times New Roman" w:cs="Times New Roman"/>
          <w:szCs w:val="32"/>
        </w:rPr>
      </w:pPr>
      <w:bookmarkStart w:id="1" w:name="_GoBack"/>
      <w:bookmarkEnd w:id="1"/>
    </w:p>
    <w:sectPr w:rsidR="00312973" w:rsidRPr="002D6FDE" w:rsidSect="00B81F11">
      <w:footerReference w:type="even" r:id="rId10"/>
      <w:footerReference w:type="default" r:id="rId11"/>
      <w:pgSz w:w="11906" w:h="16838" w:code="9"/>
      <w:pgMar w:top="2098" w:right="1474" w:bottom="1985" w:left="1588" w:header="851" w:footer="158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AC" w:rsidRDefault="00A351AC" w:rsidP="00C57531">
      <w:r>
        <w:separator/>
      </w:r>
    </w:p>
  </w:endnote>
  <w:endnote w:type="continuationSeparator" w:id="0">
    <w:p w:rsidR="00A351AC" w:rsidRDefault="00A351AC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B2A" w:rsidRPr="00D0336E" w:rsidRDefault="00646B2A" w:rsidP="00D0336E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8F5D7B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8F5D7B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0CE6" w:rsidRPr="005A0CE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="008F5D7B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B2A" w:rsidRPr="00D0336E" w:rsidRDefault="00646B2A" w:rsidP="00D0336E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8F5D7B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8F5D7B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0CE6" w:rsidRPr="005A0CE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="008F5D7B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AC" w:rsidRDefault="00A351AC" w:rsidP="00C57531">
      <w:r>
        <w:separator/>
      </w:r>
    </w:p>
  </w:footnote>
  <w:footnote w:type="continuationSeparator" w:id="0">
    <w:p w:rsidR="00A351AC" w:rsidRDefault="00A351AC" w:rsidP="00C5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CCB4"/>
    <w:multiLevelType w:val="singleLevel"/>
    <w:tmpl w:val="598BCCB4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9B1009F"/>
    <w:multiLevelType w:val="singleLevel"/>
    <w:tmpl w:val="59B1009F"/>
    <w:lvl w:ilvl="0">
      <w:start w:val="4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4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531"/>
    <w:rsid w:val="000429AA"/>
    <w:rsid w:val="000C2816"/>
    <w:rsid w:val="000C77CB"/>
    <w:rsid w:val="000D7540"/>
    <w:rsid w:val="001005D8"/>
    <w:rsid w:val="00152BF7"/>
    <w:rsid w:val="00176AC6"/>
    <w:rsid w:val="001C1A46"/>
    <w:rsid w:val="00235E84"/>
    <w:rsid w:val="002B2BCF"/>
    <w:rsid w:val="002C3810"/>
    <w:rsid w:val="002D6FDE"/>
    <w:rsid w:val="00312973"/>
    <w:rsid w:val="0033512D"/>
    <w:rsid w:val="003457E7"/>
    <w:rsid w:val="003D4160"/>
    <w:rsid w:val="004069CF"/>
    <w:rsid w:val="004A334E"/>
    <w:rsid w:val="004C465D"/>
    <w:rsid w:val="004E19C6"/>
    <w:rsid w:val="004F1A23"/>
    <w:rsid w:val="005107D0"/>
    <w:rsid w:val="005344EF"/>
    <w:rsid w:val="00591AE2"/>
    <w:rsid w:val="005A0CE6"/>
    <w:rsid w:val="00646B2A"/>
    <w:rsid w:val="00667BAC"/>
    <w:rsid w:val="006728BD"/>
    <w:rsid w:val="00695E00"/>
    <w:rsid w:val="00736FBC"/>
    <w:rsid w:val="007B21EF"/>
    <w:rsid w:val="007E4035"/>
    <w:rsid w:val="008011DD"/>
    <w:rsid w:val="008228C2"/>
    <w:rsid w:val="008302FF"/>
    <w:rsid w:val="00863048"/>
    <w:rsid w:val="008F5D7B"/>
    <w:rsid w:val="00956713"/>
    <w:rsid w:val="009B2B61"/>
    <w:rsid w:val="00A06770"/>
    <w:rsid w:val="00A351AC"/>
    <w:rsid w:val="00A9144D"/>
    <w:rsid w:val="00AD2C5E"/>
    <w:rsid w:val="00B2684C"/>
    <w:rsid w:val="00B81F11"/>
    <w:rsid w:val="00B94477"/>
    <w:rsid w:val="00C57531"/>
    <w:rsid w:val="00C743F3"/>
    <w:rsid w:val="00CB23EA"/>
    <w:rsid w:val="00CD063B"/>
    <w:rsid w:val="00D0336E"/>
    <w:rsid w:val="00DA33FB"/>
    <w:rsid w:val="00DB3E05"/>
    <w:rsid w:val="00E12E2A"/>
    <w:rsid w:val="00E16D95"/>
    <w:rsid w:val="00E7076D"/>
    <w:rsid w:val="00F37C07"/>
    <w:rsid w:val="00F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1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qFormat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qFormat/>
    <w:rsid w:val="00B2684C"/>
    <w:rPr>
      <w:strike w:val="0"/>
      <w:dstrike w:val="0"/>
      <w:color w:val="444444"/>
      <w:sz w:val="14"/>
      <w:szCs w:val="14"/>
      <w:u w:val="none"/>
      <w:effect w:val="none"/>
    </w:rPr>
  </w:style>
  <w:style w:type="paragraph" w:customStyle="1" w:styleId="reader-word-layer">
    <w:name w:val="reader-word-layer"/>
    <w:basedOn w:val="a"/>
    <w:rsid w:val="004F1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4F1A2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1A23"/>
    <w:rPr>
      <w:sz w:val="32"/>
    </w:rPr>
  </w:style>
  <w:style w:type="paragraph" w:styleId="a8">
    <w:name w:val="Normal (Web)"/>
    <w:basedOn w:val="a"/>
    <w:uiPriority w:val="99"/>
    <w:semiHidden/>
    <w:unhideWhenUsed/>
    <w:rsid w:val="00B81F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B81F1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81F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D9A6A-97CC-4C50-934E-4D293D72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3637</Characters>
  <Application>Microsoft Office Word</Application>
  <DocSecurity>0</DocSecurity>
  <Lines>30</Lines>
  <Paragraphs>8</Paragraphs>
  <ScaleCrop>false</ScaleCrop>
  <Company>微软中国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3</cp:revision>
  <cp:lastPrinted>2019-01-03T08:07:00Z</cp:lastPrinted>
  <dcterms:created xsi:type="dcterms:W3CDTF">2019-01-07T02:41:00Z</dcterms:created>
  <dcterms:modified xsi:type="dcterms:W3CDTF">2019-01-07T02:51:00Z</dcterms:modified>
</cp:coreProperties>
</file>