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附件3</w:t>
      </w:r>
    </w:p>
    <w:p>
      <w:pPr>
        <w:keepNext w:val="0"/>
        <w:keepLines w:val="0"/>
        <w:pageBreakBefore w:val="0"/>
        <w:kinsoku/>
        <w:overflowPunct/>
        <w:topLinePunct w:val="0"/>
        <w:autoSpaceDE/>
        <w:autoSpaceDN/>
        <w:bidi w:val="0"/>
        <w:spacing w:beforeLines="100" w:afterLines="50"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网络管理平台服务成效表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6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具体内容</w:t>
            </w:r>
          </w:p>
        </w:tc>
        <w:tc>
          <w:tcPr>
            <w:tcW w:w="6004"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单位名称</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指管理单位的正式完整名称，不可简写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科研设施及仪器入网比例</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该管理单位在国家科技部大仪网络管理平台、四川省网络管理平台注册填报或单位内部设备网络化管理系统（服务集约化管理系统）的大型科研仪器占符合申报条件的全部大型科研仪器的比例，体现了纳入国家、四川省或单位内部运行网络管理平台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正常运行设备比例</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指纳入国家科技部大仪网络管理平台、四川省网络管理平台或单位内部设备网络化管理系统（服务集约化管理系统）的大型科研仪器正常运行的数量占纳入的全部大型科研仪器数量的比例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参与开放比例</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指参与开放（包括内部共享和外部共享两种方式）的大型科研仪器和全部符合共享条件大型科研仪器的数量比，体现了总体开放共享服务的情况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外部共享比例</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指提供对外服务的大型科研仪器占全部符合共享条件的大型科研仪器的比例，体现了对外开放共享服务的比例情况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仪器创新开发</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指管理单位仪器功能开发、新技术和新方法的研究、仪器设备功能的升级改造、仪器研究能力、大型科研仪器</w:t>
            </w:r>
            <w:bookmarkStart w:id="0" w:name="_GoBack"/>
            <w:bookmarkEnd w:id="0"/>
            <w:r>
              <w:rPr>
                <w:rFonts w:hint="default" w:ascii="Times New Roman" w:hAnsi="Times New Roman" w:eastAsia="仿宋_GB2312" w:cs="Times New Roman"/>
                <w:sz w:val="24"/>
                <w:szCs w:val="24"/>
              </w:rPr>
              <w:t>自主创新研发能力的情况及数量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服务总量</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指大型科研仪器提供的各类服务总量，根据仪器类型和服务方式的不同，包括设备服务机时、样品测试数量、分析检测服务、培训等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用户类型</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指用大型科研仪器服务用户的类型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用户数量</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指用大型科研仪器服务用户的数量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支撑项目</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指利用大型科研仪器对外服务，用户完成的各种科研项目或合作项目数的数量，特别是服务各级科技计划（专项、基金、重大工程）等情况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支撑论文</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指用户利用大型科研仪器所产生的论文数量，包括已公开发表的论文，或者尚未正式发表但已被录用的论文，特别是在三大搜索SCI、EI、ISTP发表的论文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支撑论著</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指用户利用大型科研仪器所产生的论著或专著数量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支撑科技报告</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指用户利用大型科研仪器所产生的科技报告数量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支撑发明专利</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指用户利用大型科研仪器所产生的发明专利数量，指已授权发明专利数，不含实用新型和外观设计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产出科学数据</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指用户利用大型科研仪器所产生的原始数据及研究分析数据，包括调查观测、测试化验、实验研究等相关科学数据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科技成果及获奖情况</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指使用大型科研仪器产生的科技成果及获奖成果数量与质量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社会效益</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指利用大型科研仪器开放共享所产生的社会效益，如服务重大工程、企业创新、服务民生、应急事件、科学普及、政府决策、其他等情况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对外服务收入（万元）</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管理单位大型科研仪器对外服务获得的收入，以人民币计算（单位万元，保留小数点后两位）。包括对外提供服务收入的测试费、租赁收入和其他服务收入等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测试和检测收入（万元）</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管理单位大型科研仪器对外服务获得的测试和检测收入，以人民币计算（单位万元，保留小数点后两位）。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服务样品批次</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指管理单位大型科研仪器对外服务的样品批次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出具测试和检测报告数</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指管理单位大型科研仪器对外服务出具测试和检测报告的份数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培训收入（万元）</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指管理单位当年利用大型科研仪器对外开展培训所得收入，以人民币计算（单位万元，保留小数点后两位）。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培训人次</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指管理单位当年利用大型科研仪器对外开展培训的总人数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参与实验室比对</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指管理单位当年是否参与过实验室比对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noWrap w:val="0"/>
            <w:vAlign w:val="center"/>
          </w:tcPr>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其他成果</w:t>
            </w:r>
          </w:p>
        </w:tc>
        <w:tc>
          <w:tcPr>
            <w:tcW w:w="6004" w:type="dxa"/>
            <w:noWrap w:val="0"/>
            <w:vAlign w:val="center"/>
          </w:tcPr>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指上述成果之外的成果</w:t>
            </w:r>
          </w:p>
        </w:tc>
      </w:tr>
    </w:tbl>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-161925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4"/>
                              <w:szCs w:val="24"/>
                              <w:lang w:eastAsia="zh-CN"/>
                            </w:rPr>
                          </w:pPr>
                          <w:r>
                            <w:rPr>
                              <w:rFonts w:hint="eastAsia"/>
                              <w:sz w:val="24"/>
                              <w:szCs w:val="24"/>
                              <w:lang w:eastAsia="zh-CN"/>
                            </w:rPr>
                            <w:t>—</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2.75pt;height:144pt;width:144pt;mso-position-horizontal:outside;mso-position-horizontal-relative:margin;mso-wrap-style:none;z-index:251658240;mso-width-relative:page;mso-height-relative:page;" filled="f" stroked="f" coordsize="21600,21600" o:gfxdata="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F9gNDWAAAACAEAAA8AAAAAAAAAAQAgAAAAIgAAAGRycy9kb3ducmV2LnhtbFBL&#10;AQIUABQAAAAIAIdO4kBrhfn7MQIAAGEEAAAOAAAAAAAAAAEAIAAAACUBAABkcnMvZTJvRG9jLnht&#10;bFBLBQYAAAAABgAGAFkBAADIBQAAAAA=&#10;">
              <v:fill on="f" focussize="0,0"/>
              <v:stroke on="f" weight="0.5pt"/>
              <v:imagedata o:title=""/>
              <o:lock v:ext="edit" aspectratio="f"/>
              <v:textbox inset="0mm,0mm,0mm,0mm" style="mso-fit-shape-to-text:t;">
                <w:txbxContent>
                  <w:p>
                    <w:pPr>
                      <w:pStyle w:val="2"/>
                      <w:rPr>
                        <w:rFonts w:hint="eastAsia" w:eastAsia="宋体"/>
                        <w:sz w:val="24"/>
                        <w:szCs w:val="24"/>
                        <w:lang w:eastAsia="zh-CN"/>
                      </w:rPr>
                    </w:pPr>
                    <w:r>
                      <w:rPr>
                        <w:rFonts w:hint="eastAsia"/>
                        <w:sz w:val="24"/>
                        <w:szCs w:val="24"/>
                        <w:lang w:eastAsia="zh-CN"/>
                      </w:rPr>
                      <w:t>—</w:t>
                    </w: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r>
                      <w:rPr>
                        <w:rFonts w:hint="eastAsia"/>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F52777"/>
    <w:rsid w:val="016849C3"/>
    <w:rsid w:val="02A37C94"/>
    <w:rsid w:val="04FA2AE1"/>
    <w:rsid w:val="2A995B1E"/>
    <w:rsid w:val="323C5C7A"/>
    <w:rsid w:val="3BF52777"/>
    <w:rsid w:val="4DB37F7B"/>
    <w:rsid w:val="52044F2C"/>
    <w:rsid w:val="52F60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2020-12-23T09:06:00Z</dcterms:created>
  <dc:creator>猎头文泉</dc:creator>
  <cp:lastModifiedBy>猎头文泉</cp:lastModifiedBy>
  <dcterms:modified xsi:type="dcterms:W3CDTF">2020-12-24T01:55:12Z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