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auto"/>
          <w:sz w:val="32"/>
          <w:szCs w:val="32"/>
        </w:rPr>
      </w:pPr>
      <w:bookmarkStart w:id="0" w:name="_GoBack"/>
      <w:r>
        <w:rPr>
          <w:rFonts w:hint="eastAsia" w:ascii="黑体" w:hAnsi="黑体" w:eastAsia="黑体" w:cs="黑体"/>
          <w:color w:val="auto"/>
          <w:sz w:val="32"/>
          <w:szCs w:val="32"/>
        </w:rPr>
        <w:t>附件3</w:t>
      </w:r>
    </w:p>
    <w:p>
      <w:pPr>
        <w:spacing w:line="5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软科学项目绩效评价评分表</w:t>
      </w:r>
    </w:p>
    <w:bookmarkEnd w:id="0"/>
    <w:p>
      <w:pPr>
        <w:spacing w:line="500" w:lineRule="exact"/>
        <w:jc w:val="center"/>
        <w:rPr>
          <w:rFonts w:ascii="Times New Roman" w:hAnsi="Times New Roman" w:eastAsia="楷体_GB2312" w:cs="Times New Roman"/>
          <w:color w:val="auto"/>
          <w:szCs w:val="32"/>
        </w:rPr>
      </w:pPr>
      <w:r>
        <w:rPr>
          <w:rFonts w:ascii="Times New Roman" w:hAnsi="Times New Roman" w:eastAsia="楷体_GB2312" w:cs="Times New Roman"/>
          <w:color w:val="auto"/>
          <w:szCs w:val="32"/>
        </w:rPr>
        <w:t>（审核验收评价）</w:t>
      </w:r>
    </w:p>
    <w:p>
      <w:pPr>
        <w:spacing w:line="400" w:lineRule="exact"/>
        <w:rPr>
          <w:rFonts w:ascii="Times New Roman" w:hAnsi="Times New Roman" w:cs="Times New Roman"/>
          <w:color w:val="auto"/>
          <w:sz w:val="28"/>
          <w:szCs w:val="28"/>
        </w:rPr>
      </w:pPr>
      <w:r>
        <w:rPr>
          <w:rFonts w:ascii="Times New Roman" w:hAnsi="Times New Roman" w:cs="Times New Roman"/>
          <w:color w:val="auto"/>
          <w:sz w:val="28"/>
          <w:szCs w:val="28"/>
        </w:rPr>
        <w:t xml:space="preserve">项目名称：                                立项编号:  </w:t>
      </w:r>
    </w:p>
    <w:p>
      <w:pPr>
        <w:spacing w:line="400" w:lineRule="exact"/>
        <w:rPr>
          <w:rFonts w:ascii="Times New Roman" w:hAnsi="Times New Roman" w:cs="Times New Roman"/>
          <w:color w:val="auto"/>
          <w:sz w:val="28"/>
          <w:szCs w:val="28"/>
        </w:rPr>
      </w:pPr>
      <w:r>
        <w:rPr>
          <w:rFonts w:ascii="Times New Roman" w:hAnsi="Times New Roman" w:cs="Times New Roman"/>
          <w:color w:val="auto"/>
          <w:sz w:val="28"/>
          <w:szCs w:val="28"/>
        </w:rPr>
        <w:t xml:space="preserve">项目承担单位及合作单位： </w:t>
      </w:r>
    </w:p>
    <w:tbl>
      <w:tblPr>
        <w:tblStyle w:val="13"/>
        <w:tblW w:w="98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340"/>
        <w:gridCol w:w="3738"/>
        <w:gridCol w:w="12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803" w:type="dxa"/>
            <w:gridSpan w:val="4"/>
            <w:vAlign w:val="center"/>
          </w:tcPr>
          <w:p>
            <w:pPr>
              <w:spacing w:line="280" w:lineRule="exact"/>
              <w:jc w:val="left"/>
              <w:rPr>
                <w:rFonts w:ascii="Times New Roman" w:hAnsi="Times New Roman" w:cs="Times New Roman"/>
                <w:color w:val="auto"/>
                <w:sz w:val="21"/>
                <w:szCs w:val="21"/>
              </w:rPr>
            </w:pPr>
            <w:r>
              <w:rPr>
                <w:rFonts w:ascii="Times New Roman" w:hAnsi="Times New Roman" w:cs="Times New Roman"/>
                <w:b/>
                <w:bCs/>
                <w:color w:val="auto"/>
                <w:sz w:val="21"/>
                <w:szCs w:val="21"/>
              </w:rPr>
              <w:t>筛选性指标：</w:t>
            </w:r>
            <w:r>
              <w:rPr>
                <w:rFonts w:ascii="Times New Roman" w:hAnsi="Times New Roman" w:cs="Times New Roman"/>
                <w:color w:val="auto"/>
                <w:sz w:val="21"/>
                <w:szCs w:val="21"/>
              </w:rPr>
              <w:t>有下列情况之一者，作为技术验收不通过处理。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49" w:type="dxa"/>
            <w:gridSpan w:val="2"/>
            <w:vAlign w:val="center"/>
          </w:tcPr>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项目验收材料中有造假行为或项目承担单位无法提供有效材料证明验收指标完成情况的真实性</w:t>
            </w:r>
          </w:p>
        </w:tc>
        <w:tc>
          <w:tcPr>
            <w:tcW w:w="4954" w:type="dxa"/>
            <w:gridSpan w:val="2"/>
            <w:vAlign w:val="center"/>
          </w:tcPr>
          <w:p>
            <w:pPr>
              <w:spacing w:line="28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是 □          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849" w:type="dxa"/>
            <w:gridSpan w:val="2"/>
            <w:vAlign w:val="center"/>
          </w:tcPr>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项目关键核心技术指标未完成</w:t>
            </w:r>
          </w:p>
        </w:tc>
        <w:tc>
          <w:tcPr>
            <w:tcW w:w="4954" w:type="dxa"/>
            <w:gridSpan w:val="2"/>
            <w:vAlign w:val="center"/>
          </w:tcPr>
          <w:p>
            <w:pPr>
              <w:spacing w:line="28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是 □          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03" w:type="dxa"/>
            <w:gridSpan w:val="4"/>
            <w:vAlign w:val="center"/>
          </w:tcPr>
          <w:p>
            <w:pPr>
              <w:spacing w:line="280" w:lineRule="exact"/>
              <w:jc w:val="left"/>
              <w:rPr>
                <w:rFonts w:ascii="Times New Roman" w:hAnsi="Times New Roman" w:cs="Times New Roman"/>
                <w:color w:val="auto"/>
                <w:sz w:val="21"/>
                <w:szCs w:val="21"/>
              </w:rPr>
            </w:pPr>
            <w:r>
              <w:rPr>
                <w:rFonts w:ascii="Times New Roman" w:hAnsi="Times New Roman" w:cs="Times New Roman"/>
                <w:b/>
                <w:bCs/>
                <w:color w:val="auto"/>
                <w:sz w:val="21"/>
                <w:szCs w:val="21"/>
              </w:rPr>
              <w:t>筛选性指标：</w:t>
            </w:r>
            <w:r>
              <w:rPr>
                <w:rFonts w:ascii="Times New Roman" w:hAnsi="Times New Roman" w:cs="Times New Roman"/>
                <w:color w:val="auto"/>
                <w:sz w:val="21"/>
                <w:szCs w:val="21"/>
              </w:rPr>
              <w:t>有下列情况之一者，作为技术验收通过处理。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849" w:type="dxa"/>
            <w:gridSpan w:val="2"/>
            <w:vAlign w:val="center"/>
          </w:tcPr>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政策建议得到县（处）级及以上单位采纳</w:t>
            </w:r>
          </w:p>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（评价结论：良）</w:t>
            </w:r>
          </w:p>
        </w:tc>
        <w:tc>
          <w:tcPr>
            <w:tcW w:w="4954" w:type="dxa"/>
            <w:gridSpan w:val="2"/>
            <w:vAlign w:val="center"/>
          </w:tcPr>
          <w:p>
            <w:pPr>
              <w:spacing w:line="28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是 □          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849" w:type="dxa"/>
            <w:gridSpan w:val="2"/>
            <w:vAlign w:val="center"/>
          </w:tcPr>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政策建议得到市级或省级及以上单位采纳</w:t>
            </w:r>
          </w:p>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（评价结论：优）</w:t>
            </w:r>
          </w:p>
        </w:tc>
        <w:tc>
          <w:tcPr>
            <w:tcW w:w="4954" w:type="dxa"/>
            <w:gridSpan w:val="2"/>
            <w:vAlign w:val="center"/>
          </w:tcPr>
          <w:p>
            <w:pPr>
              <w:spacing w:line="28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是 □          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803" w:type="dxa"/>
            <w:gridSpan w:val="4"/>
            <w:vAlign w:val="center"/>
          </w:tcPr>
          <w:p>
            <w:pPr>
              <w:spacing w:line="280" w:lineRule="exact"/>
              <w:rPr>
                <w:rFonts w:ascii="Times New Roman" w:hAnsi="Times New Roman" w:cs="Times New Roman"/>
                <w:color w:val="auto"/>
                <w:sz w:val="21"/>
                <w:szCs w:val="21"/>
              </w:rPr>
            </w:pPr>
            <w:r>
              <w:rPr>
                <w:rFonts w:ascii="Times New Roman" w:hAnsi="Times New Roman" w:cs="Times New Roman"/>
                <w:b/>
                <w:bCs/>
                <w:color w:val="auto"/>
                <w:sz w:val="21"/>
                <w:szCs w:val="21"/>
              </w:rPr>
              <w:t>定量评价指标：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09" w:type="dxa"/>
            <w:vAlign w:val="center"/>
          </w:tcPr>
          <w:p>
            <w:pPr>
              <w:spacing w:line="28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考核指标</w:t>
            </w:r>
          </w:p>
        </w:tc>
        <w:tc>
          <w:tcPr>
            <w:tcW w:w="7078" w:type="dxa"/>
            <w:gridSpan w:val="2"/>
            <w:vAlign w:val="center"/>
          </w:tcPr>
          <w:p>
            <w:pPr>
              <w:spacing w:line="28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考核内容及评分说明</w:t>
            </w:r>
          </w:p>
        </w:tc>
        <w:tc>
          <w:tcPr>
            <w:tcW w:w="1216" w:type="dxa"/>
            <w:vAlign w:val="center"/>
          </w:tcPr>
          <w:p>
            <w:pPr>
              <w:spacing w:line="28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评分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509" w:type="dxa"/>
            <w:vAlign w:val="center"/>
          </w:tcPr>
          <w:p>
            <w:pPr>
              <w:spacing w:line="280" w:lineRule="exact"/>
              <w:jc w:val="center"/>
              <w:rPr>
                <w:rStyle w:val="16"/>
                <w:rFonts w:ascii="Times New Roman" w:hAnsi="Times New Roman" w:cs="Times New Roman"/>
                <w:b w:val="0"/>
                <w:bCs w:val="0"/>
                <w:color w:val="auto"/>
                <w:sz w:val="21"/>
                <w:szCs w:val="21"/>
              </w:rPr>
            </w:pPr>
            <w:r>
              <w:rPr>
                <w:rStyle w:val="16"/>
                <w:rFonts w:ascii="Times New Roman" w:hAnsi="Times New Roman" w:cs="Times New Roman"/>
                <w:b w:val="0"/>
                <w:bCs w:val="0"/>
                <w:color w:val="auto"/>
                <w:sz w:val="21"/>
                <w:szCs w:val="21"/>
              </w:rPr>
              <w:t>政策建议和</w:t>
            </w:r>
          </w:p>
          <w:p>
            <w:pPr>
              <w:spacing w:line="280" w:lineRule="exact"/>
              <w:jc w:val="center"/>
              <w:rPr>
                <w:rFonts w:ascii="Times New Roman" w:hAnsi="Times New Roman" w:cs="Times New Roman"/>
                <w:color w:val="auto"/>
                <w:sz w:val="21"/>
                <w:szCs w:val="21"/>
              </w:rPr>
            </w:pPr>
            <w:r>
              <w:rPr>
                <w:rStyle w:val="16"/>
                <w:rFonts w:ascii="Times New Roman" w:hAnsi="Times New Roman" w:cs="Times New Roman"/>
                <w:b w:val="0"/>
                <w:bCs w:val="0"/>
                <w:color w:val="auto"/>
                <w:sz w:val="21"/>
                <w:szCs w:val="21"/>
              </w:rPr>
              <w:t>研究报告</w:t>
            </w:r>
          </w:p>
        </w:tc>
        <w:tc>
          <w:tcPr>
            <w:tcW w:w="3340" w:type="dxa"/>
            <w:vAlign w:val="center"/>
          </w:tcPr>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计划任务书中约定的政策建议和研究报告完成数。</w:t>
            </w:r>
          </w:p>
        </w:tc>
        <w:tc>
          <w:tcPr>
            <w:tcW w:w="3738" w:type="dxa"/>
            <w:vAlign w:val="center"/>
          </w:tcPr>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全部完成（</w:t>
            </w:r>
            <w:r>
              <w:rPr>
                <w:rFonts w:hint="default" w:ascii="Times New Roman" w:hAnsi="Times New Roman" w:cs="Times New Roman"/>
                <w:color w:val="auto"/>
                <w:sz w:val="21"/>
                <w:szCs w:val="21"/>
              </w:rPr>
              <w:t>60</w:t>
            </w:r>
            <w:r>
              <w:rPr>
                <w:rFonts w:ascii="Times New Roman" w:hAnsi="Times New Roman" w:cs="Times New Roman"/>
                <w:color w:val="auto"/>
                <w:sz w:val="21"/>
                <w:szCs w:val="21"/>
              </w:rPr>
              <w:t>分）</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完成80%以上（</w:t>
            </w:r>
            <w:r>
              <w:rPr>
                <w:rFonts w:hint="default" w:ascii="Times New Roman" w:hAnsi="Times New Roman" w:cs="Times New Roman"/>
                <w:color w:val="auto"/>
                <w:sz w:val="21"/>
                <w:szCs w:val="21"/>
              </w:rPr>
              <w:t>4</w:t>
            </w:r>
            <w:r>
              <w:rPr>
                <w:rFonts w:ascii="Times New Roman" w:hAnsi="Times New Roman" w:cs="Times New Roman"/>
                <w:color w:val="auto"/>
                <w:sz w:val="21"/>
                <w:szCs w:val="21"/>
              </w:rPr>
              <w:t>1-</w:t>
            </w:r>
            <w:r>
              <w:rPr>
                <w:rFonts w:hint="default" w:ascii="Times New Roman" w:hAnsi="Times New Roman" w:cs="Times New Roman"/>
                <w:color w:val="auto"/>
                <w:sz w:val="21"/>
                <w:szCs w:val="21"/>
              </w:rPr>
              <w:t>59</w:t>
            </w:r>
            <w:r>
              <w:rPr>
                <w:rFonts w:ascii="Times New Roman" w:hAnsi="Times New Roman" w:cs="Times New Roman"/>
                <w:color w:val="auto"/>
                <w:sz w:val="21"/>
                <w:szCs w:val="21"/>
              </w:rPr>
              <w:t>）</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完成60%及以上（</w:t>
            </w:r>
            <w:r>
              <w:rPr>
                <w:rFonts w:hint="default" w:ascii="Times New Roman" w:hAnsi="Times New Roman" w:cs="Times New Roman"/>
                <w:color w:val="auto"/>
                <w:sz w:val="21"/>
                <w:szCs w:val="21"/>
              </w:rPr>
              <w:t>2</w:t>
            </w:r>
            <w:r>
              <w:rPr>
                <w:rFonts w:ascii="Times New Roman" w:hAnsi="Times New Roman" w:cs="Times New Roman"/>
                <w:color w:val="auto"/>
                <w:sz w:val="21"/>
                <w:szCs w:val="21"/>
              </w:rPr>
              <w:t>1-</w:t>
            </w:r>
            <w:r>
              <w:rPr>
                <w:rFonts w:hint="default" w:ascii="Times New Roman" w:hAnsi="Times New Roman" w:cs="Times New Roman"/>
                <w:color w:val="auto"/>
                <w:sz w:val="21"/>
                <w:szCs w:val="21"/>
              </w:rPr>
              <w:t>40</w:t>
            </w:r>
            <w:r>
              <w:rPr>
                <w:rFonts w:ascii="Times New Roman" w:hAnsi="Times New Roman" w:cs="Times New Roman"/>
                <w:color w:val="auto"/>
                <w:sz w:val="21"/>
                <w:szCs w:val="21"/>
              </w:rPr>
              <w:t>）</w:t>
            </w:r>
          </w:p>
          <w:p>
            <w:pPr>
              <w:spacing w:line="280" w:lineRule="exact"/>
              <w:jc w:val="left"/>
              <w:rPr>
                <w:rStyle w:val="16"/>
                <w:rFonts w:ascii="Times New Roman" w:hAnsi="Times New Roman" w:cs="Times New Roman"/>
                <w:color w:val="auto"/>
                <w:sz w:val="21"/>
                <w:szCs w:val="21"/>
              </w:rPr>
            </w:pPr>
            <w:r>
              <w:rPr>
                <w:rFonts w:ascii="Times New Roman" w:hAnsi="Times New Roman" w:cs="Times New Roman"/>
                <w:color w:val="auto"/>
                <w:sz w:val="21"/>
                <w:szCs w:val="21"/>
              </w:rPr>
              <w:t>完成60%以下（0-</w:t>
            </w:r>
            <w:r>
              <w:rPr>
                <w:rFonts w:hint="default" w:ascii="Times New Roman" w:hAnsi="Times New Roman" w:cs="Times New Roman"/>
                <w:color w:val="auto"/>
                <w:sz w:val="21"/>
                <w:szCs w:val="21"/>
              </w:rPr>
              <w:t>20</w:t>
            </w:r>
            <w:r>
              <w:rPr>
                <w:rFonts w:ascii="Times New Roman" w:hAnsi="Times New Roman" w:cs="Times New Roman"/>
                <w:color w:val="auto"/>
                <w:sz w:val="21"/>
                <w:szCs w:val="21"/>
              </w:rPr>
              <w:t>）</w:t>
            </w:r>
          </w:p>
        </w:tc>
        <w:tc>
          <w:tcPr>
            <w:tcW w:w="1216" w:type="dxa"/>
          </w:tcPr>
          <w:p>
            <w:pPr>
              <w:spacing w:line="280" w:lineRule="exact"/>
              <w:rPr>
                <w:rFonts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9" w:type="dxa"/>
            <w:vAlign w:val="center"/>
          </w:tcPr>
          <w:p>
            <w:pPr>
              <w:spacing w:line="28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论文、</w:t>
            </w:r>
            <w:r>
              <w:rPr>
                <w:rStyle w:val="16"/>
                <w:rFonts w:ascii="Times New Roman" w:hAnsi="Times New Roman" w:cs="Times New Roman"/>
                <w:b w:val="0"/>
                <w:bCs w:val="0"/>
                <w:color w:val="auto"/>
                <w:sz w:val="21"/>
                <w:szCs w:val="21"/>
              </w:rPr>
              <w:t>专著/译著/软著、技术标准</w:t>
            </w:r>
          </w:p>
        </w:tc>
        <w:tc>
          <w:tcPr>
            <w:tcW w:w="3340" w:type="dxa"/>
            <w:vAlign w:val="center"/>
          </w:tcPr>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计划任务书约定的论文收录和引用数、专著等出版数、</w:t>
            </w:r>
            <w:r>
              <w:rPr>
                <w:rStyle w:val="16"/>
                <w:rFonts w:ascii="Times New Roman" w:hAnsi="Times New Roman" w:cs="Times New Roman"/>
                <w:b w:val="0"/>
                <w:color w:val="auto"/>
                <w:sz w:val="21"/>
                <w:szCs w:val="21"/>
              </w:rPr>
              <w:t>标准数</w:t>
            </w:r>
            <w:r>
              <w:rPr>
                <w:rFonts w:ascii="Times New Roman" w:hAnsi="Times New Roman" w:cs="Times New Roman"/>
                <w:color w:val="auto"/>
                <w:sz w:val="21"/>
                <w:szCs w:val="21"/>
              </w:rPr>
              <w:t>。</w:t>
            </w:r>
          </w:p>
        </w:tc>
        <w:tc>
          <w:tcPr>
            <w:tcW w:w="3738" w:type="dxa"/>
            <w:vAlign w:val="center"/>
          </w:tcPr>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全部完成（</w:t>
            </w:r>
            <w:r>
              <w:rPr>
                <w:rFonts w:hint="default" w:ascii="Times New Roman" w:hAnsi="Times New Roman" w:cs="Times New Roman"/>
                <w:color w:val="auto"/>
                <w:sz w:val="21"/>
                <w:szCs w:val="21"/>
              </w:rPr>
              <w:t>20</w:t>
            </w:r>
            <w:r>
              <w:rPr>
                <w:rFonts w:ascii="Times New Roman" w:hAnsi="Times New Roman" w:cs="Times New Roman"/>
                <w:color w:val="auto"/>
                <w:sz w:val="21"/>
                <w:szCs w:val="21"/>
              </w:rPr>
              <w:t>分）</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完成80%以上（16-19）</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完成60%及以上（11-15）</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完成60%以下（0-10）</w:t>
            </w:r>
          </w:p>
        </w:tc>
        <w:tc>
          <w:tcPr>
            <w:tcW w:w="1216" w:type="dxa"/>
          </w:tcPr>
          <w:p>
            <w:pPr>
              <w:spacing w:line="280" w:lineRule="exact"/>
              <w:rPr>
                <w:rFonts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509" w:type="dxa"/>
            <w:vAlign w:val="center"/>
          </w:tcPr>
          <w:p>
            <w:pPr>
              <w:spacing w:line="28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人才培养目标</w:t>
            </w:r>
          </w:p>
        </w:tc>
        <w:tc>
          <w:tcPr>
            <w:tcW w:w="3340" w:type="dxa"/>
            <w:vAlign w:val="center"/>
          </w:tcPr>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计划任务书约定高端人才、职称晋升、学位人才、吸纳大学生就业数。</w:t>
            </w:r>
          </w:p>
        </w:tc>
        <w:tc>
          <w:tcPr>
            <w:tcW w:w="3738" w:type="dxa"/>
            <w:vAlign w:val="center"/>
          </w:tcPr>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全部完成（10分）</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完成80%以上（8-9）</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完成60%及以上（6-7）</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完成60%以下（0-5）</w:t>
            </w:r>
          </w:p>
        </w:tc>
        <w:tc>
          <w:tcPr>
            <w:tcW w:w="1216" w:type="dxa"/>
          </w:tcPr>
          <w:p>
            <w:pPr>
              <w:spacing w:line="280" w:lineRule="exact"/>
              <w:rPr>
                <w:rFonts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dxa"/>
            <w:vAlign w:val="center"/>
          </w:tcPr>
          <w:p>
            <w:pPr>
              <w:spacing w:line="28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项目验收报告提交及时性</w:t>
            </w:r>
          </w:p>
        </w:tc>
        <w:tc>
          <w:tcPr>
            <w:tcW w:w="3340" w:type="dxa"/>
            <w:vAlign w:val="center"/>
          </w:tcPr>
          <w:p>
            <w:pPr>
              <w:spacing w:line="280" w:lineRule="exact"/>
              <w:rPr>
                <w:rFonts w:ascii="Times New Roman" w:hAnsi="Times New Roman" w:cs="Times New Roman"/>
                <w:color w:val="auto"/>
                <w:sz w:val="21"/>
                <w:szCs w:val="21"/>
              </w:rPr>
            </w:pPr>
            <w:r>
              <w:rPr>
                <w:rFonts w:ascii="Times New Roman" w:hAnsi="Times New Roman" w:cs="Times New Roman"/>
                <w:color w:val="auto"/>
                <w:sz w:val="21"/>
                <w:szCs w:val="21"/>
              </w:rPr>
              <w:t>项目任务合同到期后，项目负责人提交验收报告是否及时。</w:t>
            </w:r>
          </w:p>
        </w:tc>
        <w:tc>
          <w:tcPr>
            <w:tcW w:w="3738" w:type="dxa"/>
            <w:vAlign w:val="center"/>
          </w:tcPr>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到期后3个内月提交（10分）</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到期后6个月内提交（6-9）</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到期后9个月提交（3-5）</w:t>
            </w:r>
          </w:p>
          <w:p>
            <w:pPr>
              <w:spacing w:line="28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到期后超过9个月提交（0-2）</w:t>
            </w:r>
          </w:p>
        </w:tc>
        <w:tc>
          <w:tcPr>
            <w:tcW w:w="1216" w:type="dxa"/>
          </w:tcPr>
          <w:p>
            <w:pPr>
              <w:spacing w:line="280" w:lineRule="exact"/>
              <w:rPr>
                <w:rFonts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87" w:type="dxa"/>
            <w:gridSpan w:val="3"/>
            <w:vAlign w:val="center"/>
          </w:tcPr>
          <w:p>
            <w:pPr>
              <w:spacing w:line="280" w:lineRule="exact"/>
              <w:jc w:val="center"/>
              <w:rPr>
                <w:rFonts w:ascii="Times New Roman" w:hAnsi="Times New Roman" w:cs="Times New Roman"/>
                <w:color w:val="auto"/>
                <w:sz w:val="21"/>
                <w:szCs w:val="21"/>
              </w:rPr>
            </w:pPr>
            <w:r>
              <w:rPr>
                <w:rFonts w:ascii="Times New Roman" w:hAnsi="Times New Roman" w:cs="Times New Roman"/>
                <w:b/>
                <w:bCs/>
                <w:color w:val="auto"/>
                <w:sz w:val="21"/>
                <w:szCs w:val="21"/>
              </w:rPr>
              <w:t>总分</w:t>
            </w:r>
          </w:p>
        </w:tc>
        <w:tc>
          <w:tcPr>
            <w:tcW w:w="1216" w:type="dxa"/>
          </w:tcPr>
          <w:p>
            <w:pPr>
              <w:widowControl/>
              <w:spacing w:line="280" w:lineRule="exact"/>
              <w:jc w:val="left"/>
              <w:rPr>
                <w:rFonts w:ascii="Times New Roman" w:hAnsi="Times New Roman" w:cs="Times New Roman"/>
                <w:color w:val="auto"/>
                <w:sz w:val="21"/>
                <w:szCs w:val="21"/>
              </w:rPr>
            </w:pPr>
          </w:p>
        </w:tc>
      </w:tr>
    </w:tbl>
    <w:p>
      <w:pPr>
        <w:spacing w:line="280" w:lineRule="exact"/>
        <w:ind w:left="-474" w:leftChars="-150" w:right="-474" w:rightChars="-150"/>
        <w:rPr>
          <w:rFonts w:ascii="Times New Roman" w:hAnsi="Times New Roman" w:cs="Times New Roman"/>
          <w:bCs/>
          <w:color w:val="auto"/>
          <w:sz w:val="24"/>
          <w:szCs w:val="24"/>
        </w:rPr>
      </w:pPr>
      <w:r>
        <w:rPr>
          <w:rFonts w:ascii="Times New Roman" w:hAnsi="Times New Roman" w:cs="Times New Roman"/>
          <w:b/>
          <w:bCs/>
          <w:color w:val="auto"/>
          <w:sz w:val="24"/>
          <w:szCs w:val="24"/>
        </w:rPr>
        <w:t>说明：</w:t>
      </w:r>
      <w:r>
        <w:rPr>
          <w:rFonts w:ascii="Times New Roman" w:hAnsi="Times New Roman" w:cs="Times New Roman"/>
          <w:bCs/>
          <w:color w:val="auto"/>
          <w:sz w:val="24"/>
          <w:szCs w:val="24"/>
        </w:rPr>
        <w:t>1.为体现软科学研究为政府科学决策的支撑参考作用，设计技术验收通过筛选指标。</w:t>
      </w:r>
    </w:p>
    <w:p>
      <w:pPr>
        <w:spacing w:line="280" w:lineRule="exact"/>
        <w:ind w:left="-474" w:leftChars="-150" w:right="-474" w:rightChars="-150" w:firstLine="708" w:firstLineChars="300"/>
        <w:rPr>
          <w:rFonts w:hint="default" w:ascii="Times New Roman" w:hAnsi="Times New Roman" w:eastAsia="方正小标宋_GBK" w:cs="Times New Roman"/>
          <w:color w:val="auto"/>
          <w:sz w:val="44"/>
          <w:szCs w:val="44"/>
        </w:rPr>
      </w:pPr>
      <w:r>
        <w:rPr>
          <w:rFonts w:ascii="Times New Roman" w:hAnsi="Times New Roman" w:cs="Times New Roman"/>
          <w:bCs/>
          <w:color w:val="auto"/>
          <w:sz w:val="24"/>
          <w:szCs w:val="24"/>
        </w:rPr>
        <w:t>2.</w:t>
      </w:r>
      <w:r>
        <w:rPr>
          <w:rFonts w:ascii="Times New Roman" w:hAnsi="Times New Roman" w:cs="Times New Roman"/>
          <w:color w:val="auto"/>
          <w:sz w:val="24"/>
          <w:szCs w:val="24"/>
        </w:rPr>
        <w:t>项目为评分制，满分100分。70分（含）以上为通过技术验收，70分以下为不验收。如果项目计划任务书中未约定评分项内容，可直接将该栏目填写满分。</w:t>
      </w:r>
    </w:p>
    <w:sectPr>
      <w:footerReference r:id="rId3" w:type="default"/>
      <w:pgSz w:w="11906" w:h="16838"/>
      <w:pgMar w:top="2098" w:right="1474" w:bottom="1984" w:left="1587" w:header="992" w:footer="1247" w:gutter="0"/>
      <w:pgNumType w:fmt="decimal" w:start="13"/>
      <w:cols w:space="0" w:num="1"/>
      <w:rtlGutter w:val="0"/>
      <w:docGrid w:type="linesAndChars" w:linePitch="63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东文宋体">
    <w:altName w:val="Times New Roman"/>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7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8"/>
  <w:drawingGridVerticalSpacing w:val="31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10A95"/>
    <w:rsid w:val="0003033C"/>
    <w:rsid w:val="000429AA"/>
    <w:rsid w:val="000866F6"/>
    <w:rsid w:val="000B7CF2"/>
    <w:rsid w:val="000C77CB"/>
    <w:rsid w:val="000D0534"/>
    <w:rsid w:val="000F1886"/>
    <w:rsid w:val="000F1FEC"/>
    <w:rsid w:val="0016657B"/>
    <w:rsid w:val="00176AC6"/>
    <w:rsid w:val="001959DD"/>
    <w:rsid w:val="002158F7"/>
    <w:rsid w:val="00243733"/>
    <w:rsid w:val="0029589C"/>
    <w:rsid w:val="002C2337"/>
    <w:rsid w:val="002D1F81"/>
    <w:rsid w:val="002F2AE1"/>
    <w:rsid w:val="002F3010"/>
    <w:rsid w:val="0030556C"/>
    <w:rsid w:val="00343B75"/>
    <w:rsid w:val="003457E7"/>
    <w:rsid w:val="003477B2"/>
    <w:rsid w:val="00353524"/>
    <w:rsid w:val="00374A97"/>
    <w:rsid w:val="00396187"/>
    <w:rsid w:val="003C653C"/>
    <w:rsid w:val="004069CF"/>
    <w:rsid w:val="00420130"/>
    <w:rsid w:val="004335BB"/>
    <w:rsid w:val="0045304A"/>
    <w:rsid w:val="004B0B5F"/>
    <w:rsid w:val="004D086D"/>
    <w:rsid w:val="004D2E63"/>
    <w:rsid w:val="004D30FC"/>
    <w:rsid w:val="004E065B"/>
    <w:rsid w:val="00530682"/>
    <w:rsid w:val="00565ADB"/>
    <w:rsid w:val="00585530"/>
    <w:rsid w:val="00591AE2"/>
    <w:rsid w:val="005A2295"/>
    <w:rsid w:val="006268F0"/>
    <w:rsid w:val="006350ED"/>
    <w:rsid w:val="00646B2A"/>
    <w:rsid w:val="006517F7"/>
    <w:rsid w:val="0066277E"/>
    <w:rsid w:val="00667BAC"/>
    <w:rsid w:val="006713FF"/>
    <w:rsid w:val="00682000"/>
    <w:rsid w:val="006C3E14"/>
    <w:rsid w:val="00723E87"/>
    <w:rsid w:val="0073508E"/>
    <w:rsid w:val="00736FBC"/>
    <w:rsid w:val="00752DFA"/>
    <w:rsid w:val="007A4B7C"/>
    <w:rsid w:val="007E4035"/>
    <w:rsid w:val="007F0082"/>
    <w:rsid w:val="008302FF"/>
    <w:rsid w:val="00841646"/>
    <w:rsid w:val="008A3DC7"/>
    <w:rsid w:val="008C08DF"/>
    <w:rsid w:val="00902B08"/>
    <w:rsid w:val="00917EB9"/>
    <w:rsid w:val="00921F6F"/>
    <w:rsid w:val="00932833"/>
    <w:rsid w:val="009D1880"/>
    <w:rsid w:val="00A16AC0"/>
    <w:rsid w:val="00A26125"/>
    <w:rsid w:val="00A5752B"/>
    <w:rsid w:val="00A73A9B"/>
    <w:rsid w:val="00A9144D"/>
    <w:rsid w:val="00AD3331"/>
    <w:rsid w:val="00AE633B"/>
    <w:rsid w:val="00AF4CE5"/>
    <w:rsid w:val="00B25FEF"/>
    <w:rsid w:val="00B61421"/>
    <w:rsid w:val="00B76305"/>
    <w:rsid w:val="00B970E7"/>
    <w:rsid w:val="00BF475B"/>
    <w:rsid w:val="00C0202F"/>
    <w:rsid w:val="00C57531"/>
    <w:rsid w:val="00C752EF"/>
    <w:rsid w:val="00C83AAE"/>
    <w:rsid w:val="00CC22D0"/>
    <w:rsid w:val="00CD063B"/>
    <w:rsid w:val="00CF5F8E"/>
    <w:rsid w:val="00D137B7"/>
    <w:rsid w:val="00D34CB0"/>
    <w:rsid w:val="00D53192"/>
    <w:rsid w:val="00D67442"/>
    <w:rsid w:val="00DB7822"/>
    <w:rsid w:val="00DB78DD"/>
    <w:rsid w:val="00DC5F63"/>
    <w:rsid w:val="00DE1CC0"/>
    <w:rsid w:val="00E16D95"/>
    <w:rsid w:val="00F807B1"/>
    <w:rsid w:val="00F83806"/>
    <w:rsid w:val="00F95D9B"/>
    <w:rsid w:val="00FC4C6E"/>
    <w:rsid w:val="00FE2F57"/>
    <w:rsid w:val="00FE56F8"/>
    <w:rsid w:val="097D6CD1"/>
    <w:rsid w:val="1AFD20D9"/>
    <w:rsid w:val="2ADAF383"/>
    <w:rsid w:val="3F7B7102"/>
    <w:rsid w:val="4FFFCD8C"/>
    <w:rsid w:val="54FB1425"/>
    <w:rsid w:val="57FCE8FC"/>
    <w:rsid w:val="5CF2BCC0"/>
    <w:rsid w:val="5DED1531"/>
    <w:rsid w:val="5DFF6AD3"/>
    <w:rsid w:val="5EFDF901"/>
    <w:rsid w:val="5EFF3F32"/>
    <w:rsid w:val="6EBF9ED4"/>
    <w:rsid w:val="707F6080"/>
    <w:rsid w:val="74FFCD61"/>
    <w:rsid w:val="77BA3125"/>
    <w:rsid w:val="77DF98AA"/>
    <w:rsid w:val="78713DFE"/>
    <w:rsid w:val="78FEF437"/>
    <w:rsid w:val="797D7CEE"/>
    <w:rsid w:val="7BBD4C7A"/>
    <w:rsid w:val="7CDB942F"/>
    <w:rsid w:val="7DE7F165"/>
    <w:rsid w:val="7DEBA482"/>
    <w:rsid w:val="7F552225"/>
    <w:rsid w:val="7F6FEDED"/>
    <w:rsid w:val="7FB542AB"/>
    <w:rsid w:val="7FE7940B"/>
    <w:rsid w:val="7FFA6850"/>
    <w:rsid w:val="97F321D3"/>
    <w:rsid w:val="B7DE7CCC"/>
    <w:rsid w:val="BAFEFF9B"/>
    <w:rsid w:val="BBAF11F7"/>
    <w:rsid w:val="BEDD13F8"/>
    <w:rsid w:val="BFCF4294"/>
    <w:rsid w:val="C1EF7AEB"/>
    <w:rsid w:val="CB7F1022"/>
    <w:rsid w:val="DDFEA60D"/>
    <w:rsid w:val="DFBF5D30"/>
    <w:rsid w:val="DFFEA06D"/>
    <w:rsid w:val="E3BFBC49"/>
    <w:rsid w:val="E7ED292A"/>
    <w:rsid w:val="EDEF6FD3"/>
    <w:rsid w:val="EFC70C18"/>
    <w:rsid w:val="F0EE26B7"/>
    <w:rsid w:val="F2FB4306"/>
    <w:rsid w:val="F63C4D70"/>
    <w:rsid w:val="F73EA89E"/>
    <w:rsid w:val="F7EFAB9E"/>
    <w:rsid w:val="F7EFCD48"/>
    <w:rsid w:val="F9DF4157"/>
    <w:rsid w:val="FCCFF2E3"/>
    <w:rsid w:val="FDE33B3F"/>
    <w:rsid w:val="FF27D984"/>
    <w:rsid w:val="FFFE061C"/>
    <w:rsid w:val="FFFED108"/>
    <w:rsid w:val="FFFF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style>
  <w:style w:type="paragraph" w:styleId="4">
    <w:name w:val="Normal Indent"/>
    <w:basedOn w:val="1"/>
    <w:semiHidden/>
    <w:unhideWhenUsed/>
    <w:qFormat/>
    <w:uiPriority w:val="0"/>
    <w:pPr>
      <w:ind w:firstLine="420" w:firstLineChars="200"/>
    </w:pPr>
  </w:style>
  <w:style w:type="paragraph" w:styleId="5">
    <w:name w:val="Body Text"/>
    <w:basedOn w:val="1"/>
    <w:next w:val="6"/>
    <w:qFormat/>
    <w:uiPriority w:val="0"/>
    <w:pPr>
      <w:spacing w:after="120"/>
    </w:pPr>
    <w:rPr>
      <w:kern w:val="0"/>
      <w:sz w:val="20"/>
    </w:rPr>
  </w:style>
  <w:style w:type="paragraph" w:customStyle="1" w:styleId="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Date"/>
    <w:basedOn w:val="1"/>
    <w:next w:val="1"/>
    <w:link w:val="22"/>
    <w:semiHidden/>
    <w:unhideWhenUsed/>
    <w:qFormat/>
    <w:uiPriority w:val="99"/>
    <w:pPr>
      <w:ind w:left="100" w:leftChars="2500"/>
    </w:pPr>
  </w:style>
  <w:style w:type="paragraph" w:styleId="8">
    <w:name w:val="footer"/>
    <w:basedOn w:val="1"/>
    <w:next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w:basedOn w:val="5"/>
    <w:qFormat/>
    <w:uiPriority w:val="0"/>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semiHidden/>
    <w:qFormat/>
    <w:uiPriority w:val="0"/>
  </w:style>
  <w:style w:type="character" w:styleId="18">
    <w:name w:val="Emphasis"/>
    <w:qFormat/>
    <w:uiPriority w:val="99"/>
    <w:rPr>
      <w:rFonts w:hint="default" w:ascii="Times New Roman" w:hAnsi="Times New Roman" w:cs="Times New Roman"/>
    </w:rPr>
  </w:style>
  <w:style w:type="character" w:customStyle="1" w:styleId="19">
    <w:name w:val="页眉 Char"/>
    <w:basedOn w:val="15"/>
    <w:link w:val="9"/>
    <w:semiHidden/>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标题 1 Char"/>
    <w:basedOn w:val="15"/>
    <w:link w:val="3"/>
    <w:qFormat/>
    <w:uiPriority w:val="9"/>
    <w:rPr>
      <w:rFonts w:ascii="宋体" w:hAnsi="宋体" w:eastAsia="宋体" w:cs="宋体"/>
      <w:b/>
      <w:bCs/>
      <w:kern w:val="36"/>
      <w:sz w:val="48"/>
      <w:szCs w:val="48"/>
    </w:rPr>
  </w:style>
  <w:style w:type="character" w:customStyle="1" w:styleId="22">
    <w:name w:val="日期 Char"/>
    <w:basedOn w:val="15"/>
    <w:link w:val="7"/>
    <w:semiHidden/>
    <w:qFormat/>
    <w:uiPriority w:val="99"/>
    <w:rPr>
      <w:sz w:val="32"/>
    </w:rPr>
  </w:style>
  <w:style w:type="table" w:customStyle="1" w:styleId="23">
    <w:name w:val="网格型1"/>
    <w:basedOn w:val="13"/>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694</Words>
  <Characters>3960</Characters>
  <Lines>33</Lines>
  <Paragraphs>9</Paragraphs>
  <TotalTime>16</TotalTime>
  <ScaleCrop>false</ScaleCrop>
  <LinksUpToDate>false</LinksUpToDate>
  <CharactersWithSpaces>4645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2020-07-27T23:08:00Z</dcterms:created>
  <dc:creator>微软用户</dc:creator>
  <cp:lastModifiedBy>user</cp:lastModifiedBy>
  <cp:lastPrinted>2021-10-25T12:24:11Z</cp:lastPrinted>
  <dcterms:modified xsi:type="dcterms:W3CDTF">2021-10-25T12:35:40Z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