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26" w:rsidRPr="00035290" w:rsidRDefault="00135A26" w:rsidP="00135A26">
      <w:pPr>
        <w:spacing w:line="352" w:lineRule="auto"/>
        <w:ind w:firstLineChars="0" w:firstLine="0"/>
        <w:rPr>
          <w:rFonts w:ascii="黑体" w:eastAsia="黑体" w:hAnsi="黑体"/>
          <w:spacing w:val="2"/>
        </w:rPr>
      </w:pPr>
      <w:r w:rsidRPr="00035290">
        <w:rPr>
          <w:rFonts w:ascii="黑体" w:eastAsia="黑体" w:hAnsi="黑体" w:hint="eastAsia"/>
          <w:spacing w:val="2"/>
        </w:rPr>
        <w:t>附件:</w:t>
      </w:r>
    </w:p>
    <w:p w:rsidR="00135A26" w:rsidRDefault="00135A26" w:rsidP="00843A3F">
      <w:pPr>
        <w:spacing w:line="352" w:lineRule="auto"/>
        <w:ind w:firstLineChars="0" w:firstLine="0"/>
        <w:jc w:val="center"/>
      </w:pPr>
      <w:r>
        <w:rPr>
          <w:rFonts w:hint="eastAsia"/>
          <w:spacing w:val="2"/>
        </w:rPr>
        <w:t>国科发智〔</w:t>
      </w:r>
      <w:r>
        <w:rPr>
          <w:spacing w:val="2"/>
        </w:rPr>
        <w:t>2021</w:t>
      </w:r>
      <w:r>
        <w:rPr>
          <w:rFonts w:hint="eastAsia"/>
          <w:spacing w:val="2"/>
        </w:rPr>
        <w:t>〕</w:t>
      </w:r>
      <w:r>
        <w:rPr>
          <w:spacing w:val="2"/>
        </w:rPr>
        <w:t>77</w:t>
      </w:r>
      <w:r>
        <w:rPr>
          <w:rFonts w:hint="eastAsia"/>
          <w:spacing w:val="2"/>
        </w:rPr>
        <w:t>号</w:t>
      </w:r>
    </w:p>
    <w:p w:rsidR="00135A26" w:rsidRDefault="00135A26" w:rsidP="00135A26">
      <w:pPr>
        <w:ind w:firstLine="624"/>
      </w:pPr>
    </w:p>
    <w:p w:rsidR="00135A26" w:rsidRPr="00AB2AC1" w:rsidRDefault="00135A26" w:rsidP="00AB2AC1">
      <w:pPr>
        <w:pStyle w:val="4"/>
        <w:spacing w:line="600" w:lineRule="exact"/>
        <w:rPr>
          <w:rFonts w:ascii="方正小标宋_GBK" w:eastAsia="方正小标宋_GBK" w:hint="eastAsia"/>
          <w:b w:val="0"/>
        </w:rPr>
      </w:pPr>
      <w:r w:rsidRPr="00AB2AC1">
        <w:rPr>
          <w:rFonts w:ascii="方正小标宋_GBK" w:eastAsia="方正小标宋_GBK" w:hint="eastAsia"/>
          <w:b w:val="0"/>
        </w:rPr>
        <w:t>科技部 中央宣传部 中国科协</w:t>
      </w:r>
    </w:p>
    <w:p w:rsidR="00135A26" w:rsidRPr="00AB2AC1" w:rsidRDefault="00135A26" w:rsidP="00AB2AC1">
      <w:pPr>
        <w:pStyle w:val="4"/>
        <w:spacing w:line="600" w:lineRule="exact"/>
        <w:rPr>
          <w:rFonts w:ascii="方正小标宋_GBK" w:eastAsia="方正小标宋_GBK" w:hint="eastAsia"/>
          <w:b w:val="0"/>
        </w:rPr>
      </w:pPr>
      <w:r w:rsidRPr="00AB2AC1">
        <w:rPr>
          <w:rFonts w:ascii="方正小标宋_GBK" w:eastAsia="方正小标宋_GBK" w:hint="eastAsia"/>
          <w:b w:val="0"/>
        </w:rPr>
        <w:t>关于举办2021年全国科技</w:t>
      </w:r>
    </w:p>
    <w:p w:rsidR="00135A26" w:rsidRPr="00AB2AC1" w:rsidRDefault="00135A26" w:rsidP="00AB2AC1">
      <w:pPr>
        <w:pStyle w:val="4"/>
        <w:spacing w:line="600" w:lineRule="exact"/>
        <w:rPr>
          <w:rFonts w:ascii="方正小标宋_GBK" w:eastAsia="方正小标宋_GBK" w:hint="eastAsia"/>
          <w:b w:val="0"/>
        </w:rPr>
      </w:pPr>
      <w:r w:rsidRPr="00AB2AC1">
        <w:rPr>
          <w:rFonts w:ascii="方正小标宋_GBK" w:eastAsia="方正小标宋_GBK" w:hint="eastAsia"/>
          <w:b w:val="0"/>
        </w:rPr>
        <w:t>活动周的通知</w:t>
      </w:r>
      <w:bookmarkStart w:id="0" w:name="_GoBack"/>
      <w:bookmarkEnd w:id="0"/>
    </w:p>
    <w:p w:rsidR="00135A26" w:rsidRDefault="00135A26" w:rsidP="00135A26">
      <w:pPr>
        <w:ind w:firstLine="624"/>
      </w:pPr>
    </w:p>
    <w:p w:rsidR="00135A26" w:rsidRDefault="00135A26" w:rsidP="00135A26">
      <w:pPr>
        <w:ind w:firstLineChars="0" w:firstLine="0"/>
      </w:pPr>
      <w:r>
        <w:rPr>
          <w:rFonts w:hint="eastAsia"/>
        </w:rPr>
        <w:t>各省、自治区、直辖市及计划单列市、副省级城市科技厅（委、局）、党委宣传部、科协，新疆生产建设兵团科技局、党委宣传部、科协，中央、国务院有关部门、直属机构，中央军委科技委：</w:t>
      </w:r>
    </w:p>
    <w:p w:rsidR="00135A26" w:rsidRDefault="00135A26" w:rsidP="00135A26">
      <w:pPr>
        <w:ind w:firstLine="624"/>
      </w:pPr>
      <w:r>
        <w:t>2021</w:t>
      </w:r>
      <w:r>
        <w:rPr>
          <w:rFonts w:hint="eastAsia"/>
        </w:rPr>
        <w:t>年是建党</w:t>
      </w:r>
      <w:r>
        <w:t>100</w:t>
      </w:r>
      <w:r>
        <w:rPr>
          <w:rFonts w:hint="eastAsia"/>
        </w:rPr>
        <w:t>周年，是全面建成小康社会、实现第一个百年奋斗目标之年后，开启全面建设社会主义现代化国家新征程、向第二个百年奋斗目标进军的开局之年，在这个特殊节点上举办</w:t>
      </w:r>
      <w:r>
        <w:t>2021</w:t>
      </w:r>
      <w:r>
        <w:rPr>
          <w:rFonts w:hint="eastAsia"/>
        </w:rPr>
        <w:t>年全国科技活动周，具有重要的历史和现实意义。为隆重纪念建党</w:t>
      </w:r>
      <w:r>
        <w:t>100</w:t>
      </w:r>
      <w:r>
        <w:rPr>
          <w:rFonts w:hint="eastAsia"/>
        </w:rPr>
        <w:t>周年，推动科技创新成果和科学普及活动惠及于民，科技部、中央宣传部、中国科协将共同主办</w:t>
      </w:r>
      <w:r>
        <w:t>2021</w:t>
      </w:r>
      <w:r>
        <w:rPr>
          <w:rFonts w:hint="eastAsia"/>
        </w:rPr>
        <w:t>年全国科技活动周。现将有关事项通知如下。</w:t>
      </w:r>
    </w:p>
    <w:p w:rsidR="00135A26" w:rsidRPr="008F40C7" w:rsidRDefault="00135A26" w:rsidP="008F40C7">
      <w:pPr>
        <w:pStyle w:val="1"/>
        <w:ind w:firstLine="624"/>
        <w:rPr>
          <w:rFonts w:ascii="黑体" w:eastAsia="黑体" w:hAnsi="黑体"/>
          <w:b w:val="0"/>
          <w:sz w:val="32"/>
        </w:rPr>
      </w:pPr>
      <w:r w:rsidRPr="008F40C7">
        <w:rPr>
          <w:rFonts w:ascii="黑体" w:eastAsia="黑体" w:hAnsi="黑体" w:hint="eastAsia"/>
          <w:b w:val="0"/>
          <w:sz w:val="32"/>
        </w:rPr>
        <w:t>一、时间与主题</w:t>
      </w:r>
    </w:p>
    <w:p w:rsidR="00135A26" w:rsidRDefault="00135A26" w:rsidP="00135A26">
      <w:pPr>
        <w:pStyle w:val="2"/>
        <w:ind w:firstLine="624"/>
      </w:pPr>
      <w:r>
        <w:rPr>
          <w:rFonts w:hint="eastAsia"/>
        </w:rPr>
        <w:t>（一）时间。</w:t>
      </w:r>
    </w:p>
    <w:p w:rsidR="00135A26" w:rsidRDefault="00135A26" w:rsidP="00135A26">
      <w:pPr>
        <w:ind w:firstLine="624"/>
      </w:pPr>
      <w:r>
        <w:t>2021</w:t>
      </w:r>
      <w:r>
        <w:rPr>
          <w:rFonts w:hint="eastAsia"/>
        </w:rPr>
        <w:t>年</w:t>
      </w:r>
      <w:r>
        <w:t>5</w:t>
      </w:r>
      <w:r>
        <w:rPr>
          <w:rFonts w:hint="eastAsia"/>
        </w:rPr>
        <w:t>月</w:t>
      </w:r>
      <w:r>
        <w:t>22</w:t>
      </w:r>
      <w:r>
        <w:rPr>
          <w:rFonts w:hint="eastAsia"/>
        </w:rPr>
        <w:t>—</w:t>
      </w:r>
      <w:r>
        <w:t>28</w:t>
      </w:r>
      <w:r>
        <w:rPr>
          <w:rFonts w:hint="eastAsia"/>
        </w:rPr>
        <w:t>日。</w:t>
      </w:r>
    </w:p>
    <w:p w:rsidR="00135A26" w:rsidRDefault="00135A26" w:rsidP="00135A26">
      <w:pPr>
        <w:pStyle w:val="2"/>
        <w:ind w:firstLine="624"/>
      </w:pPr>
      <w:r>
        <w:rPr>
          <w:rFonts w:hint="eastAsia"/>
        </w:rPr>
        <w:t>（二）主题。</w:t>
      </w:r>
    </w:p>
    <w:p w:rsidR="00135A26" w:rsidRDefault="00135A26" w:rsidP="00135A26">
      <w:pPr>
        <w:ind w:firstLine="624"/>
      </w:pPr>
      <w:r>
        <w:rPr>
          <w:rFonts w:hint="eastAsia"/>
        </w:rPr>
        <w:t>百年回望：中国共产党领导科技发展</w:t>
      </w:r>
    </w:p>
    <w:p w:rsidR="00135A26" w:rsidRDefault="00135A26" w:rsidP="00135A26">
      <w:pPr>
        <w:ind w:firstLine="624"/>
      </w:pPr>
      <w:r>
        <w:rPr>
          <w:rFonts w:hint="eastAsia"/>
        </w:rPr>
        <w:lastRenderedPageBreak/>
        <w:t>从一穷二白起步，以筚路蓝缕开拓。中国科技事业在党的领导下，走出了一条中国特色科技创新之路。中国共产党自诞生起就高度重视科技创新发展，毛泽东同志对科技发展作了精辟论述，徐特立在延安自然科学院建立时提出“科学！是国力的灵魂”。建国初期，国家在极其艰苦的条件下创造出“两弹一星”的奇迹，取得了青蒿素、人工合成牛胰岛素等重大成就。改革开放以来，实施国家高技术研究发展计划（“</w:t>
      </w:r>
      <w:r>
        <w:t>863</w:t>
      </w:r>
      <w:r>
        <w:rPr>
          <w:rFonts w:hint="eastAsia"/>
        </w:rPr>
        <w:t>”计划）、国家重点基础研究发展计划（“</w:t>
      </w:r>
      <w:r>
        <w:t>973</w:t>
      </w:r>
      <w:r>
        <w:rPr>
          <w:rFonts w:hint="eastAsia"/>
        </w:rPr>
        <w:t>”计划），跟踪研究世界先进技术发展趋势，面向国家重大需求培养大批优秀人才。</w:t>
      </w:r>
      <w:r>
        <w:t>21</w:t>
      </w:r>
      <w:r>
        <w:rPr>
          <w:rFonts w:hint="eastAsia"/>
        </w:rPr>
        <w:t>世纪，国家科技事业发展进入快车道，重大创新成果不断涌现，我国科技实力“后发赶超”，实现了整体性、格局性的重大发展。党的十九届五中全会把科技创新提到了前所未有的高度，把坚持创新摆在我国现代化建设全局中的核心地位。在建党</w:t>
      </w:r>
      <w:r>
        <w:t>100</w:t>
      </w:r>
      <w:r>
        <w:rPr>
          <w:rFonts w:hint="eastAsia"/>
        </w:rPr>
        <w:t>周年举办全国科技活动周，回顾党领导下的科技发展历程，对坚定科技自立自强信心和决心，建设科技强国具有重大意义。</w:t>
      </w:r>
    </w:p>
    <w:p w:rsidR="00135A26" w:rsidRDefault="00135A26" w:rsidP="00135A26">
      <w:pPr>
        <w:pStyle w:val="2"/>
        <w:ind w:firstLine="624"/>
      </w:pPr>
      <w:r>
        <w:rPr>
          <w:rFonts w:hint="eastAsia"/>
        </w:rPr>
        <w:t>（三）主要内容。</w:t>
      </w:r>
    </w:p>
    <w:p w:rsidR="00135A26" w:rsidRDefault="00135A26" w:rsidP="00135A26">
      <w:pPr>
        <w:ind w:firstLine="626"/>
      </w:pPr>
      <w:r>
        <w:rPr>
          <w:rStyle w:val="3Char"/>
        </w:rPr>
        <w:t xml:space="preserve">1. </w:t>
      </w:r>
      <w:r>
        <w:rPr>
          <w:rStyle w:val="3Char"/>
        </w:rPr>
        <w:t>突出宣传党对科技全面领导和方向指引。</w:t>
      </w:r>
      <w:r>
        <w:rPr>
          <w:rFonts w:hint="eastAsia"/>
        </w:rPr>
        <w:t>重点宣传中国共产党百年历史中对科技事业改革与发展的英明决策和伟大壮举，突出展示党的十八大以来以习近平同志为核心的党中央领导实施创新驱动发展战略取得的</w:t>
      </w:r>
      <w:r>
        <w:rPr>
          <w:rFonts w:hint="eastAsia"/>
          <w:lang w:eastAsia="zh-Hans"/>
        </w:rPr>
        <w:t>重大</w:t>
      </w:r>
      <w:r>
        <w:rPr>
          <w:rFonts w:hint="eastAsia"/>
        </w:rPr>
        <w:t>进展和突出成就，认真学习党指引科技事业发展的光辉历史，使广大科技工作者学史明理增信、牢记初心使命，坚定“沿着党的指引勇攀科学高峰”的信心和决心，</w:t>
      </w:r>
      <w:r>
        <w:rPr>
          <w:rFonts w:hint="eastAsia"/>
        </w:rPr>
        <w:lastRenderedPageBreak/>
        <w:t>使“科技自立自强”成为全民的自觉行动。</w:t>
      </w:r>
    </w:p>
    <w:p w:rsidR="00135A26" w:rsidRDefault="00135A26" w:rsidP="00135A26">
      <w:pPr>
        <w:ind w:firstLine="626"/>
      </w:pPr>
      <w:r>
        <w:rPr>
          <w:rStyle w:val="3Char"/>
        </w:rPr>
        <w:t xml:space="preserve">2. </w:t>
      </w:r>
      <w:r>
        <w:rPr>
          <w:rStyle w:val="3Char"/>
        </w:rPr>
        <w:t>大力弘扬科学家精神。</w:t>
      </w:r>
      <w:r>
        <w:rPr>
          <w:rFonts w:hint="eastAsia"/>
        </w:rPr>
        <w:t>集中宣传科学家胸怀祖国、甘于奉献的高尚情怀，大力弘扬爱国精神和创新精神，积极讲述科技工作者追求真理、淡泊名利、勇攀高峰、敢为人先的创新故事，推动在全社会营造尊重人才、尊重创造的社会风尚，激发广大科技工作者爱国奉献、自立自强的使命感和责任感。</w:t>
      </w:r>
    </w:p>
    <w:p w:rsidR="00135A26" w:rsidRDefault="00135A26" w:rsidP="00135A26">
      <w:pPr>
        <w:ind w:firstLine="626"/>
      </w:pPr>
      <w:r>
        <w:rPr>
          <w:rStyle w:val="3Char"/>
        </w:rPr>
        <w:t xml:space="preserve">3. </w:t>
      </w:r>
      <w:r>
        <w:rPr>
          <w:rStyle w:val="3Char"/>
        </w:rPr>
        <w:t>举办青少年科技创新活动。</w:t>
      </w:r>
      <w:r>
        <w:rPr>
          <w:rFonts w:hint="eastAsia"/>
        </w:rPr>
        <w:t>落</w:t>
      </w:r>
      <w:proofErr w:type="gramStart"/>
      <w:r>
        <w:rPr>
          <w:rFonts w:hint="eastAsia"/>
        </w:rPr>
        <w:t>实习近</w:t>
      </w:r>
      <w:proofErr w:type="gramEnd"/>
      <w:r>
        <w:rPr>
          <w:rFonts w:hint="eastAsia"/>
        </w:rPr>
        <w:t>平总书记关于激发青少年好奇心的重要指示，组织广大青少年感兴趣的科技实践活动，让大中小学生树立尊崇科学家的人生价值观，激发热衷科学探索的兴趣，树立良好的作风学风，培养青少年投身于科技自立自强的远大志向。</w:t>
      </w:r>
    </w:p>
    <w:p w:rsidR="00135A26" w:rsidRDefault="00135A26" w:rsidP="00135A26">
      <w:pPr>
        <w:ind w:firstLine="626"/>
      </w:pPr>
      <w:r>
        <w:rPr>
          <w:rStyle w:val="3Char"/>
        </w:rPr>
        <w:t xml:space="preserve">4. </w:t>
      </w:r>
      <w:r>
        <w:rPr>
          <w:rStyle w:val="3Char"/>
        </w:rPr>
        <w:t>开展科技为民服务活动。</w:t>
      </w:r>
      <w:r>
        <w:rPr>
          <w:rFonts w:hint="eastAsia"/>
        </w:rPr>
        <w:t>落实党中央关于乡村振兴、高质量发展的战略部署，始终坚持以人民为中心的理念，面向基层群众开展各类科普活动和科技服务，通过开展科技扶贫、科技下乡、科普进社区、科普进校园等系列科普惠民活动，组织广大科技工作者和科普工作者，深入田间地头、厂矿企业、社区农村、中小学校开展形式多样的为民科普服务活动。</w:t>
      </w:r>
    </w:p>
    <w:p w:rsidR="00135A26" w:rsidRPr="008F40C7" w:rsidRDefault="00135A26" w:rsidP="008F40C7">
      <w:pPr>
        <w:pStyle w:val="1"/>
        <w:ind w:firstLine="624"/>
        <w:rPr>
          <w:rFonts w:ascii="黑体" w:eastAsia="黑体" w:hAnsi="黑体"/>
          <w:b w:val="0"/>
          <w:sz w:val="32"/>
        </w:rPr>
      </w:pPr>
      <w:r w:rsidRPr="008F40C7">
        <w:rPr>
          <w:rFonts w:ascii="黑体" w:eastAsia="黑体" w:hAnsi="黑体" w:hint="eastAsia"/>
          <w:b w:val="0"/>
          <w:sz w:val="32"/>
        </w:rPr>
        <w:t>二、主场活动及组织形式</w:t>
      </w:r>
    </w:p>
    <w:p w:rsidR="00135A26" w:rsidRDefault="00135A26" w:rsidP="00135A26">
      <w:pPr>
        <w:pStyle w:val="2"/>
        <w:ind w:firstLine="624"/>
      </w:pPr>
      <w:r>
        <w:rPr>
          <w:rFonts w:hint="eastAsia"/>
        </w:rPr>
        <w:t>（一）启动式。</w:t>
      </w:r>
    </w:p>
    <w:p w:rsidR="00135A26" w:rsidRDefault="00135A26" w:rsidP="00135A26">
      <w:pPr>
        <w:ind w:firstLine="624"/>
      </w:pPr>
      <w:r>
        <w:rPr>
          <w:rFonts w:hint="eastAsia"/>
        </w:rPr>
        <w:t>全国科技活动</w:t>
      </w:r>
      <w:proofErr w:type="gramStart"/>
      <w:r>
        <w:rPr>
          <w:rFonts w:hint="eastAsia"/>
        </w:rPr>
        <w:t>周启动</w:t>
      </w:r>
      <w:proofErr w:type="gramEnd"/>
      <w:r>
        <w:rPr>
          <w:rFonts w:hint="eastAsia"/>
        </w:rPr>
        <w:t>式安排在北京中关村国家自主创新示范区展示中心。</w:t>
      </w:r>
      <w:proofErr w:type="gramStart"/>
      <w:r>
        <w:rPr>
          <w:rFonts w:hint="eastAsia"/>
        </w:rPr>
        <w:t>邀请党</w:t>
      </w:r>
      <w:proofErr w:type="gramEnd"/>
      <w:r>
        <w:rPr>
          <w:rFonts w:hint="eastAsia"/>
        </w:rPr>
        <w:t>和国家领导人出席，有关部门、科学家、外国专家、学生、社会各界代表出席，参观科技创新和科普展览，</w:t>
      </w:r>
      <w:r>
        <w:rPr>
          <w:rFonts w:hint="eastAsia"/>
        </w:rPr>
        <w:lastRenderedPageBreak/>
        <w:t>参与现场科普互动体验活动等。启动式由科技部、北京市人民政府主办。</w:t>
      </w:r>
    </w:p>
    <w:p w:rsidR="00135A26" w:rsidRDefault="00135A26" w:rsidP="00135A26">
      <w:pPr>
        <w:pStyle w:val="2"/>
        <w:ind w:firstLine="624"/>
      </w:pPr>
      <w:r>
        <w:rPr>
          <w:rFonts w:hint="eastAsia"/>
        </w:rPr>
        <w:t>（二）主场展览活动。</w:t>
      </w:r>
    </w:p>
    <w:p w:rsidR="00135A26" w:rsidRDefault="00135A26" w:rsidP="00135A26">
      <w:pPr>
        <w:ind w:firstLine="624"/>
      </w:pPr>
      <w:r>
        <w:rPr>
          <w:rFonts w:hint="eastAsia"/>
        </w:rPr>
        <w:t>主场展示建党百年科技事业发展历程，重点展示实施创新驱动发展以来取得的突出成就、脱贫攻坚伟大胜利成就等内容，开展以生物安全为重点的国家科技安全教育。主场展览活动由科技部、北京市人民政府主办。</w:t>
      </w:r>
    </w:p>
    <w:p w:rsidR="00135A26" w:rsidRDefault="00135A26" w:rsidP="00135A26">
      <w:pPr>
        <w:pStyle w:val="2"/>
        <w:ind w:firstLine="624"/>
      </w:pPr>
      <w:r>
        <w:rPr>
          <w:rFonts w:hint="eastAsia"/>
        </w:rPr>
        <w:t>（三）闭幕式。</w:t>
      </w:r>
    </w:p>
    <w:p w:rsidR="00135A26" w:rsidRDefault="00135A26" w:rsidP="00135A26">
      <w:pPr>
        <w:ind w:firstLine="624"/>
      </w:pPr>
      <w:r>
        <w:t>5</w:t>
      </w:r>
      <w:r>
        <w:rPr>
          <w:rFonts w:hint="eastAsia"/>
        </w:rPr>
        <w:t>月</w:t>
      </w:r>
      <w:r>
        <w:t>28</w:t>
      </w:r>
      <w:r>
        <w:rPr>
          <w:rFonts w:hint="eastAsia"/>
        </w:rPr>
        <w:t>日在上海举办，由科技部、中央宣传部、中国科协、上海人民政府主办。</w:t>
      </w:r>
    </w:p>
    <w:p w:rsidR="00135A26" w:rsidRPr="008F40C7" w:rsidRDefault="00135A26" w:rsidP="008F40C7">
      <w:pPr>
        <w:pStyle w:val="1"/>
        <w:ind w:firstLine="624"/>
        <w:rPr>
          <w:rFonts w:ascii="黑体" w:eastAsia="黑体" w:hAnsi="黑体"/>
          <w:b w:val="0"/>
          <w:sz w:val="32"/>
        </w:rPr>
      </w:pPr>
      <w:r w:rsidRPr="008F40C7">
        <w:rPr>
          <w:rFonts w:ascii="黑体" w:eastAsia="黑体" w:hAnsi="黑体" w:hint="eastAsia"/>
          <w:b w:val="0"/>
          <w:sz w:val="32"/>
        </w:rPr>
        <w:t>三、主要活动</w:t>
      </w:r>
    </w:p>
    <w:p w:rsidR="00135A26" w:rsidRDefault="00135A26" w:rsidP="00135A26">
      <w:pPr>
        <w:ind w:firstLine="624"/>
      </w:pPr>
      <w:r>
        <w:rPr>
          <w:rFonts w:hint="eastAsia"/>
        </w:rPr>
        <w:t>科技活动周作为全国群众性科技活动品牌，既要安排主场活动和重大示范活动，又要部署部门、地方同步举办各类特色科普活动。</w:t>
      </w:r>
    </w:p>
    <w:p w:rsidR="00135A26" w:rsidRDefault="00135A26" w:rsidP="00135A26">
      <w:pPr>
        <w:ind w:firstLine="624"/>
      </w:pPr>
      <w:r>
        <w:rPr>
          <w:rFonts w:hint="eastAsia"/>
        </w:rPr>
        <w:t>全国科技活动周组委会将组织科学之夜、科研机构和大学开放、科技列车河池行、全国科普讲解大赛、全国科普微视频大赛、全国科学实验展演汇演、全国优秀科普作品推荐、科普援藏、全国优秀科普展品巡展暨流动科技馆进基层、“全国中小学生创</w:t>
      </w:r>
      <w:r>
        <w:t>·</w:t>
      </w:r>
      <w:r>
        <w:rPr>
          <w:rFonts w:hint="eastAsia"/>
        </w:rPr>
        <w:t>造活动”等重大示范活动。</w:t>
      </w:r>
    </w:p>
    <w:p w:rsidR="00135A26" w:rsidRDefault="00135A26" w:rsidP="00135A26">
      <w:pPr>
        <w:ind w:firstLine="624"/>
      </w:pPr>
      <w:r>
        <w:rPr>
          <w:rFonts w:hint="eastAsia"/>
        </w:rPr>
        <w:t>有关部门根据自身优势和特点，举办各具特色的群众性科技活动。相关部门开展“科研机构、大学向社会开放”“科学使者进社区（农村、企业、学校、军营）”等活动。部队举办军营开</w:t>
      </w:r>
      <w:r>
        <w:rPr>
          <w:rFonts w:hint="eastAsia"/>
        </w:rPr>
        <w:lastRenderedPageBreak/>
        <w:t>放等活动。请各地同步举办科技活动周、“科技节”等具有区域优势和特点的群众性科技活动。</w:t>
      </w:r>
    </w:p>
    <w:p w:rsidR="00135A26" w:rsidRDefault="00135A26" w:rsidP="00135A26">
      <w:pPr>
        <w:ind w:firstLine="624"/>
      </w:pPr>
      <w:r>
        <w:rPr>
          <w:rFonts w:hint="eastAsia"/>
        </w:rPr>
        <w:t>（</w:t>
      </w:r>
      <w:r w:rsidRPr="0024739D">
        <w:rPr>
          <w:rFonts w:ascii="黑体" w:eastAsia="黑体" w:hAnsi="黑体"/>
        </w:rPr>
        <w:t>注：</w:t>
      </w:r>
      <w:r>
        <w:rPr>
          <w:rStyle w:val="2Char"/>
        </w:rPr>
        <w:t>根据疫情发展形势，若届时无法组织实体展览相关活动，将举办网络科技活动周。请各地各部门根据国务院应对新型冠状病毒肺炎疫情联防联控机制统一安排，合理确定举办方式。</w:t>
      </w:r>
      <w:r>
        <w:rPr>
          <w:rFonts w:hint="eastAsia"/>
        </w:rPr>
        <w:t>）</w:t>
      </w:r>
    </w:p>
    <w:p w:rsidR="00135A26" w:rsidRPr="008F40C7" w:rsidRDefault="00135A26" w:rsidP="008F40C7">
      <w:pPr>
        <w:pStyle w:val="1"/>
        <w:ind w:firstLine="624"/>
        <w:rPr>
          <w:rFonts w:ascii="黑体" w:eastAsia="黑体" w:hAnsi="黑体"/>
          <w:b w:val="0"/>
          <w:sz w:val="32"/>
        </w:rPr>
      </w:pPr>
      <w:r w:rsidRPr="008F40C7">
        <w:rPr>
          <w:rFonts w:ascii="黑体" w:eastAsia="黑体" w:hAnsi="黑体" w:hint="eastAsia"/>
          <w:b w:val="0"/>
          <w:sz w:val="32"/>
        </w:rPr>
        <w:t>四、有关要求</w:t>
      </w:r>
    </w:p>
    <w:p w:rsidR="00135A26" w:rsidRDefault="00135A26" w:rsidP="00135A26">
      <w:pPr>
        <w:pStyle w:val="2"/>
        <w:ind w:firstLine="624"/>
      </w:pPr>
      <w:r>
        <w:rPr>
          <w:rFonts w:hint="eastAsia"/>
        </w:rPr>
        <w:t>（一）高度重视，精心组织。</w:t>
      </w:r>
    </w:p>
    <w:p w:rsidR="00135A26" w:rsidRDefault="00135A26" w:rsidP="00135A26">
      <w:pPr>
        <w:ind w:firstLine="624"/>
      </w:pPr>
      <w:r>
        <w:rPr>
          <w:rFonts w:hint="eastAsia"/>
        </w:rPr>
        <w:t>各地方、各部门要加强统筹协调和资源共享，紧扣主题，精心组织，把举办科技活动周作为宣传党中央关于科技自立自强战略部署、推进科技强国建设的一项重要任务来抓。各地方科技管理部门、党委宣传部门、科协组织要充分发挥各地科普工作联席会议的工作机制，统筹部署，密切配合，联合协作，集成资源，充分调动各方面的积极性和创造性，针对公众实际需求，在活动举办内容和形式上不断创新、办出特色。</w:t>
      </w:r>
    </w:p>
    <w:p w:rsidR="00135A26" w:rsidRDefault="00135A26" w:rsidP="00135A26">
      <w:pPr>
        <w:pStyle w:val="2"/>
        <w:ind w:firstLine="624"/>
      </w:pPr>
      <w:r>
        <w:rPr>
          <w:rFonts w:hint="eastAsia"/>
        </w:rPr>
        <w:t>（二）注重联动，加强宣传。</w:t>
      </w:r>
    </w:p>
    <w:p w:rsidR="00135A26" w:rsidRDefault="00135A26" w:rsidP="00135A26">
      <w:pPr>
        <w:ind w:firstLine="624"/>
      </w:pPr>
      <w:r>
        <w:rPr>
          <w:rFonts w:hint="eastAsia"/>
        </w:rPr>
        <w:t>各地要在地方党委政府的领导下，充分调动相关部门以及科协、工会、共青团、妇联等社会团体的积极性，发动广大科技工作者积极参与。举办活动要立足实际，注意节俭，讲求实效。各地要加大对科技活动周的宣传报道力度，重视发挥主流媒体和新媒体优势，充分利用大数据、云计算、人工智能等现代信息技术，采取微视频、微动漫、</w:t>
      </w:r>
      <w:r>
        <w:t>H5</w:t>
      </w:r>
      <w:r>
        <w:rPr>
          <w:rFonts w:hint="eastAsia"/>
        </w:rPr>
        <w:t>、</w:t>
      </w:r>
      <w:r>
        <w:t>VR</w:t>
      </w:r>
      <w:r>
        <w:rPr>
          <w:rFonts w:hint="eastAsia"/>
        </w:rPr>
        <w:t>、</w:t>
      </w:r>
      <w:r>
        <w:t>AR</w:t>
      </w:r>
      <w:r>
        <w:rPr>
          <w:rFonts w:hint="eastAsia"/>
        </w:rPr>
        <w:t>等技术开展宣传，提升科技活动周在全社会的传播效果。</w:t>
      </w:r>
    </w:p>
    <w:p w:rsidR="00135A26" w:rsidRDefault="00135A26" w:rsidP="00135A26">
      <w:pPr>
        <w:pStyle w:val="2"/>
        <w:ind w:firstLine="624"/>
      </w:pPr>
      <w:r>
        <w:rPr>
          <w:rFonts w:hint="eastAsia"/>
        </w:rPr>
        <w:lastRenderedPageBreak/>
        <w:t>（三）周密安排，确保安全。</w:t>
      </w:r>
    </w:p>
    <w:p w:rsidR="00135A26" w:rsidRDefault="00135A26" w:rsidP="00135A26">
      <w:pPr>
        <w:ind w:firstLine="624"/>
      </w:pPr>
      <w:r>
        <w:rPr>
          <w:rFonts w:hint="eastAsia"/>
        </w:rPr>
        <w:t>各地方、各部门要严格执行国家和各地联防联控机制部署，加强安全防范措施，精心组织举办各类活动，防止聚集性感染事件发生。要充分提高安全意识，加强科技保密工作。各有关活动的主办单位和承办单位，要与当地公安、武警、消防、城管等部门通力合作，认真制订科技活动周的安全保卫方案及应急预案，确保活动举办安全有序。</w:t>
      </w:r>
    </w:p>
    <w:p w:rsidR="00135A26" w:rsidRDefault="00135A26" w:rsidP="00135A26">
      <w:pPr>
        <w:pStyle w:val="2"/>
        <w:ind w:firstLine="624"/>
      </w:pPr>
      <w:r>
        <w:rPr>
          <w:rFonts w:hint="eastAsia"/>
        </w:rPr>
        <w:t>（四）认真总结，及时反馈。</w:t>
      </w:r>
    </w:p>
    <w:p w:rsidR="00135A26" w:rsidRDefault="00135A26" w:rsidP="00135A26">
      <w:pPr>
        <w:ind w:firstLine="624"/>
      </w:pPr>
      <w:r>
        <w:rPr>
          <w:rFonts w:hint="eastAsia"/>
        </w:rPr>
        <w:t>各地方、各部门要按照通知要求，认真制定活动方案，精心策划重点项目，配合全国科技活动周组委会做好相关重点活动。科技活动周结束后，要对本届科技活动周的举办情况进行全面总结。请各地方科技管理部门牵头，会同当地党委宣传部门和科协组织，形成</w:t>
      </w:r>
      <w:r>
        <w:t>2021</w:t>
      </w:r>
      <w:r>
        <w:rPr>
          <w:rFonts w:hint="eastAsia"/>
        </w:rPr>
        <w:t>年科技活动周总结报告、影像资料（视频时长不超过</w:t>
      </w:r>
      <w:r>
        <w:t>3</w:t>
      </w:r>
      <w:r>
        <w:rPr>
          <w:rFonts w:hint="eastAsia"/>
        </w:rPr>
        <w:t>分钟），于</w:t>
      </w:r>
      <w:r>
        <w:t>6</w:t>
      </w:r>
      <w:r>
        <w:rPr>
          <w:rFonts w:hint="eastAsia"/>
        </w:rPr>
        <w:t>月</w:t>
      </w:r>
      <w:r>
        <w:t>30</w:t>
      </w:r>
      <w:r>
        <w:rPr>
          <w:rFonts w:hint="eastAsia"/>
        </w:rPr>
        <w:t>日前报送科技活动周组委会办公室。</w:t>
      </w:r>
    </w:p>
    <w:p w:rsidR="00135A26" w:rsidRDefault="00135A26" w:rsidP="00135A26">
      <w:pPr>
        <w:ind w:firstLine="624"/>
      </w:pPr>
      <w:r>
        <w:rPr>
          <w:rFonts w:hint="eastAsia"/>
        </w:rPr>
        <w:t>联</w:t>
      </w:r>
      <w:r>
        <w:t xml:space="preserve"> </w:t>
      </w:r>
      <w:r>
        <w:rPr>
          <w:rFonts w:hint="eastAsia"/>
        </w:rPr>
        <w:t>系</w:t>
      </w:r>
      <w:r>
        <w:t xml:space="preserve"> </w:t>
      </w:r>
      <w:r>
        <w:rPr>
          <w:rFonts w:hint="eastAsia"/>
        </w:rPr>
        <w:t>人：杨启明</w:t>
      </w:r>
      <w:r>
        <w:t xml:space="preserve">  </w:t>
      </w:r>
      <w:r>
        <w:rPr>
          <w:rFonts w:hint="eastAsia"/>
        </w:rPr>
        <w:t>王菲菲</w:t>
      </w:r>
      <w:r>
        <w:t xml:space="preserve"> </w:t>
      </w:r>
    </w:p>
    <w:p w:rsidR="00135A26" w:rsidRDefault="00135A26" w:rsidP="00135A26">
      <w:pPr>
        <w:ind w:firstLine="624"/>
      </w:pPr>
      <w:r>
        <w:rPr>
          <w:rFonts w:hint="eastAsia"/>
        </w:rPr>
        <w:t>联系电话：</w:t>
      </w:r>
      <w:r>
        <w:t>010-58884209</w:t>
      </w:r>
      <w:r>
        <w:rPr>
          <w:rFonts w:hint="eastAsia"/>
        </w:rPr>
        <w:t>、</w:t>
      </w:r>
      <w:r>
        <w:t>58884214</w:t>
      </w:r>
    </w:p>
    <w:p w:rsidR="00135A26" w:rsidRDefault="00135A26" w:rsidP="00135A26">
      <w:pPr>
        <w:ind w:firstLine="624"/>
      </w:pPr>
      <w:proofErr w:type="gramStart"/>
      <w:r>
        <w:rPr>
          <w:rFonts w:hint="eastAsia"/>
        </w:rPr>
        <w:t>邮</w:t>
      </w:r>
      <w:proofErr w:type="gramEnd"/>
      <w:r>
        <w:t xml:space="preserve">    </w:t>
      </w:r>
      <w:r>
        <w:rPr>
          <w:rFonts w:hint="eastAsia"/>
        </w:rPr>
        <w:t>箱：</w:t>
      </w:r>
      <w:r w:rsidRPr="00613B26">
        <w:t>kjhdz@most.cn</w:t>
      </w:r>
      <w:r>
        <w:t xml:space="preserve"> </w:t>
      </w:r>
    </w:p>
    <w:p w:rsidR="00135A26" w:rsidRDefault="00135A26" w:rsidP="00135A26">
      <w:pPr>
        <w:ind w:firstLine="624"/>
      </w:pPr>
      <w:r>
        <w:rPr>
          <w:rFonts w:hint="eastAsia"/>
        </w:rPr>
        <w:t>传</w:t>
      </w:r>
      <w:r>
        <w:t xml:space="preserve">    </w:t>
      </w:r>
      <w:r>
        <w:rPr>
          <w:rFonts w:hint="eastAsia"/>
        </w:rPr>
        <w:t>真：</w:t>
      </w:r>
      <w:r>
        <w:t>010-58884208</w:t>
      </w:r>
    </w:p>
    <w:p w:rsidR="00135A26" w:rsidRDefault="00135A26" w:rsidP="00135A26">
      <w:pPr>
        <w:ind w:firstLine="624"/>
      </w:pPr>
      <w:r>
        <w:rPr>
          <w:rFonts w:hint="eastAsia"/>
        </w:rPr>
        <w:t>地</w:t>
      </w:r>
      <w:r>
        <w:t xml:space="preserve">    </w:t>
      </w:r>
      <w:r>
        <w:rPr>
          <w:rFonts w:hint="eastAsia"/>
        </w:rPr>
        <w:t>址：北京市海淀区</w:t>
      </w:r>
      <w:proofErr w:type="gramStart"/>
      <w:r>
        <w:rPr>
          <w:rFonts w:hint="eastAsia"/>
        </w:rPr>
        <w:t>复兴路乙</w:t>
      </w:r>
      <w:r>
        <w:t>15</w:t>
      </w:r>
      <w:r>
        <w:rPr>
          <w:rFonts w:hint="eastAsia"/>
        </w:rPr>
        <w:t>号</w:t>
      </w:r>
      <w:proofErr w:type="gramEnd"/>
      <w:r>
        <w:rPr>
          <w:rFonts w:hint="eastAsia"/>
        </w:rPr>
        <w:t>（邮编：</w:t>
      </w:r>
      <w:r>
        <w:t>100862</w:t>
      </w:r>
      <w:r>
        <w:rPr>
          <w:rFonts w:hint="eastAsia"/>
        </w:rPr>
        <w:t>）</w:t>
      </w:r>
    </w:p>
    <w:p w:rsidR="00135A26" w:rsidRDefault="00135A26" w:rsidP="00135A26">
      <w:pPr>
        <w:pStyle w:val="a3"/>
        <w:ind w:firstLineChars="0" w:firstLine="0"/>
        <w:jc w:val="both"/>
        <w:rPr>
          <w:rFonts w:ascii="仿宋_GB2312" w:hAnsi="仿宋_GB2312"/>
          <w:sz w:val="36"/>
        </w:rPr>
      </w:pPr>
    </w:p>
    <w:p w:rsidR="00135A26" w:rsidRDefault="00135A26" w:rsidP="00135A26">
      <w:pPr>
        <w:ind w:firstLineChars="0" w:firstLine="0"/>
        <w:rPr>
          <w:rFonts w:ascii="仿宋_GB2312" w:hAnsi="仿宋_GB2312"/>
          <w:sz w:val="36"/>
        </w:rPr>
      </w:pPr>
    </w:p>
    <w:p w:rsidR="00135A26" w:rsidRDefault="00135A26" w:rsidP="00135A26">
      <w:pPr>
        <w:ind w:firstLineChars="0" w:firstLine="0"/>
        <w:rPr>
          <w:rFonts w:ascii="仿宋_GB2312" w:hAnsi="仿宋_GB2312"/>
          <w:sz w:val="36"/>
        </w:rPr>
      </w:pPr>
    </w:p>
    <w:tbl>
      <w:tblPr>
        <w:tblW w:w="8955" w:type="dxa"/>
        <w:jc w:val="center"/>
        <w:tblLayout w:type="fixed"/>
        <w:tblCellMar>
          <w:left w:w="0" w:type="dxa"/>
          <w:right w:w="0" w:type="dxa"/>
        </w:tblCellMar>
        <w:tblLook w:val="04A0" w:firstRow="1" w:lastRow="0" w:firstColumn="1" w:lastColumn="0" w:noHBand="0" w:noVBand="1"/>
      </w:tblPr>
      <w:tblGrid>
        <w:gridCol w:w="2985"/>
        <w:gridCol w:w="2984"/>
        <w:gridCol w:w="2986"/>
      </w:tblGrid>
      <w:tr w:rsidR="00135A26">
        <w:trPr>
          <w:trHeight w:val="567"/>
          <w:jc w:val="center"/>
        </w:trPr>
        <w:tc>
          <w:tcPr>
            <w:tcW w:w="2985" w:type="dxa"/>
            <w:vAlign w:val="center"/>
            <w:hideMark/>
          </w:tcPr>
          <w:p w:rsidR="00135A26" w:rsidRDefault="00135A26">
            <w:pPr>
              <w:ind w:firstLineChars="0" w:firstLine="0"/>
              <w:jc w:val="center"/>
            </w:pPr>
            <w:r>
              <w:rPr>
                <w:rFonts w:hint="eastAsia"/>
              </w:rPr>
              <w:t>科</w:t>
            </w:r>
            <w:r>
              <w:t xml:space="preserve"> </w:t>
            </w:r>
            <w:r>
              <w:rPr>
                <w:rFonts w:hint="eastAsia"/>
              </w:rPr>
              <w:t>技</w:t>
            </w:r>
            <w:r>
              <w:t xml:space="preserve"> </w:t>
            </w:r>
            <w:r>
              <w:rPr>
                <w:rFonts w:hint="eastAsia"/>
              </w:rPr>
              <w:t>部</w:t>
            </w:r>
          </w:p>
        </w:tc>
        <w:tc>
          <w:tcPr>
            <w:tcW w:w="2985" w:type="dxa"/>
            <w:vAlign w:val="center"/>
            <w:hideMark/>
          </w:tcPr>
          <w:p w:rsidR="00135A26" w:rsidRDefault="00135A26">
            <w:pPr>
              <w:ind w:firstLineChars="0" w:firstLine="0"/>
              <w:jc w:val="center"/>
            </w:pPr>
            <w:r>
              <w:rPr>
                <w:rFonts w:hint="eastAsia"/>
              </w:rPr>
              <w:t>中央宣传部</w:t>
            </w:r>
          </w:p>
        </w:tc>
        <w:tc>
          <w:tcPr>
            <w:tcW w:w="2987" w:type="dxa"/>
            <w:vAlign w:val="center"/>
            <w:hideMark/>
          </w:tcPr>
          <w:p w:rsidR="00135A26" w:rsidRDefault="00135A26">
            <w:pPr>
              <w:ind w:firstLineChars="0" w:firstLine="0"/>
              <w:jc w:val="center"/>
            </w:pPr>
            <w:r>
              <w:rPr>
                <w:rFonts w:hint="eastAsia"/>
              </w:rPr>
              <w:t>中国科协</w:t>
            </w:r>
          </w:p>
        </w:tc>
      </w:tr>
      <w:tr w:rsidR="00135A26">
        <w:trPr>
          <w:trHeight w:val="567"/>
          <w:jc w:val="center"/>
        </w:trPr>
        <w:tc>
          <w:tcPr>
            <w:tcW w:w="2985" w:type="dxa"/>
            <w:vAlign w:val="center"/>
          </w:tcPr>
          <w:p w:rsidR="00135A26" w:rsidRDefault="00135A26">
            <w:pPr>
              <w:ind w:firstLineChars="0" w:firstLine="0"/>
              <w:jc w:val="center"/>
            </w:pPr>
          </w:p>
        </w:tc>
        <w:tc>
          <w:tcPr>
            <w:tcW w:w="2985" w:type="dxa"/>
            <w:vAlign w:val="center"/>
          </w:tcPr>
          <w:p w:rsidR="00135A26" w:rsidRDefault="00135A26">
            <w:pPr>
              <w:ind w:firstLineChars="0" w:firstLine="0"/>
              <w:jc w:val="center"/>
            </w:pPr>
          </w:p>
        </w:tc>
        <w:tc>
          <w:tcPr>
            <w:tcW w:w="2987" w:type="dxa"/>
            <w:vAlign w:val="center"/>
            <w:hideMark/>
          </w:tcPr>
          <w:p w:rsidR="00135A26" w:rsidRDefault="00135A26">
            <w:pPr>
              <w:ind w:firstLineChars="0" w:firstLine="0"/>
              <w:jc w:val="center"/>
            </w:pPr>
            <w:r>
              <w:t>2021</w:t>
            </w:r>
            <w:r>
              <w:rPr>
                <w:rFonts w:hint="eastAsia"/>
              </w:rPr>
              <w:t>年</w:t>
            </w:r>
            <w:r>
              <w:t>4</w:t>
            </w:r>
            <w:r>
              <w:rPr>
                <w:rFonts w:hint="eastAsia"/>
              </w:rPr>
              <w:t>月</w:t>
            </w:r>
            <w:r>
              <w:t>1</w:t>
            </w:r>
            <w:r>
              <w:rPr>
                <w:rFonts w:hint="eastAsia"/>
              </w:rPr>
              <w:t>日</w:t>
            </w:r>
          </w:p>
        </w:tc>
      </w:tr>
    </w:tbl>
    <w:p w:rsidR="00135A26" w:rsidRDefault="00135A26" w:rsidP="00135A26">
      <w:pPr>
        <w:ind w:firstLine="624"/>
      </w:pPr>
    </w:p>
    <w:sectPr w:rsidR="00135A26">
      <w:headerReference w:type="even" r:id="rId8"/>
      <w:headerReference w:type="default" r:id="rId9"/>
      <w:footerReference w:type="even" r:id="rId10"/>
      <w:footerReference w:type="default" r:id="rId11"/>
      <w:headerReference w:type="first" r:id="rId12"/>
      <w:footerReference w:type="first" r:id="rId13"/>
      <w:pgSz w:w="11906" w:h="16838"/>
      <w:pgMar w:top="2098" w:right="1587" w:bottom="1984" w:left="1587" w:header="851" w:footer="1587" w:gutter="0"/>
      <w:cols w:space="720"/>
      <w:docGrid w:type="linesAndChars" w:linePitch="579"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A4" w:rsidRDefault="004C5EA4" w:rsidP="00A25EE2">
      <w:pPr>
        <w:spacing w:line="240" w:lineRule="auto"/>
        <w:ind w:firstLine="640"/>
      </w:pPr>
      <w:r>
        <w:separator/>
      </w:r>
    </w:p>
  </w:endnote>
  <w:endnote w:type="continuationSeparator" w:id="0">
    <w:p w:rsidR="004C5EA4" w:rsidRDefault="004C5EA4" w:rsidP="00A25EE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长城小标宋体">
    <w:altName w:val="宋体"/>
    <w:charset w:val="00"/>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BA" w:rsidRDefault="0035764D">
    <w:pPr>
      <w:pStyle w:val="a3"/>
      <w:framePr w:wrap="around" w:vAnchor="text" w:hAnchor="margin" w:xAlign="outside" w:y="1"/>
      <w:spacing w:line="240" w:lineRule="auto"/>
      <w:ind w:leftChars="100" w:left="320" w:rightChars="100" w:right="320" w:firstLineChars="0" w:firstLine="0"/>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2</w:t>
    </w:r>
    <w:r>
      <w:rPr>
        <w:rFonts w:eastAsia="楷体_GB2312"/>
        <w:sz w:val="28"/>
      </w:rPr>
      <w:fldChar w:fldCharType="end"/>
    </w:r>
    <w:r>
      <w:rPr>
        <w:rFonts w:ascii="仿宋_GB2312" w:hAnsi="仿宋_GB2312" w:hint="eastAsia"/>
        <w:sz w:val="28"/>
      </w:rPr>
      <w:t xml:space="preserve"> —</w:t>
    </w:r>
  </w:p>
  <w:p w:rsidR="00E660BA" w:rsidRDefault="00E660BA">
    <w:pPr>
      <w:pStyle w:val="a3"/>
      <w:spacing w:line="240" w:lineRule="auto"/>
      <w:ind w:leftChars="100" w:left="320"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BA" w:rsidRDefault="0035764D">
    <w:pPr>
      <w:pStyle w:val="a3"/>
      <w:framePr w:wrap="around" w:vAnchor="text" w:hAnchor="margin" w:xAlign="outside" w:y="1"/>
      <w:spacing w:line="240" w:lineRule="auto"/>
      <w:ind w:leftChars="100" w:left="320" w:rightChars="100" w:right="320" w:firstLineChars="0" w:firstLine="0"/>
      <w:rPr>
        <w:rFonts w:ascii="楷体_GB2312" w:eastAsia="楷体_GB2312"/>
        <w:sz w:val="28"/>
      </w:rPr>
    </w:pPr>
    <w:r>
      <w:rPr>
        <w:rFonts w:ascii="仿宋_GB2312"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sidR="00AB2AC1">
      <w:rPr>
        <w:rFonts w:eastAsia="楷体_GB2312"/>
        <w:noProof/>
        <w:sz w:val="28"/>
      </w:rPr>
      <w:t>1</w:t>
    </w:r>
    <w:r>
      <w:rPr>
        <w:rFonts w:eastAsia="楷体_GB2312"/>
        <w:sz w:val="28"/>
      </w:rPr>
      <w:fldChar w:fldCharType="end"/>
    </w:r>
    <w:r>
      <w:rPr>
        <w:rFonts w:ascii="仿宋_GB2312" w:hAnsi="仿宋_GB2312" w:hint="eastAsia"/>
        <w:vanish/>
        <w:sz w:val="28"/>
      </w:rPr>
      <w:pgNum/>
    </w:r>
    <w:r>
      <w:rPr>
        <w:rFonts w:ascii="仿宋_GB2312" w:hAnsi="仿宋_GB2312" w:hint="eastAsia"/>
        <w:sz w:val="28"/>
      </w:rPr>
      <w:t xml:space="preserve"> —</w:t>
    </w:r>
  </w:p>
  <w:p w:rsidR="00E660BA" w:rsidRDefault="00E660BA">
    <w:pPr>
      <w:pStyle w:val="a3"/>
      <w:spacing w:line="240" w:lineRule="auto"/>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E2" w:rsidRDefault="00A25EE2" w:rsidP="00A25EE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A4" w:rsidRDefault="004C5EA4" w:rsidP="00A25EE2">
      <w:pPr>
        <w:spacing w:line="240" w:lineRule="auto"/>
        <w:ind w:firstLine="640"/>
      </w:pPr>
      <w:r>
        <w:separator/>
      </w:r>
    </w:p>
  </w:footnote>
  <w:footnote w:type="continuationSeparator" w:id="0">
    <w:p w:rsidR="004C5EA4" w:rsidRDefault="004C5EA4" w:rsidP="00A25EE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E2" w:rsidRDefault="00A25EE2" w:rsidP="00A25EE2">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E2" w:rsidRDefault="00A25EE2">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E2" w:rsidRDefault="00A25EE2" w:rsidP="00A25EE2">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41C2C"/>
    <w:rsid w:val="00035290"/>
    <w:rsid w:val="00080F26"/>
    <w:rsid w:val="00135A26"/>
    <w:rsid w:val="00183767"/>
    <w:rsid w:val="0024739D"/>
    <w:rsid w:val="00253948"/>
    <w:rsid w:val="002F597E"/>
    <w:rsid w:val="003421D8"/>
    <w:rsid w:val="0035764D"/>
    <w:rsid w:val="003F1B03"/>
    <w:rsid w:val="004C5EA4"/>
    <w:rsid w:val="004F3B9B"/>
    <w:rsid w:val="005B6387"/>
    <w:rsid w:val="00604800"/>
    <w:rsid w:val="00613B26"/>
    <w:rsid w:val="006473C4"/>
    <w:rsid w:val="006E5186"/>
    <w:rsid w:val="00713473"/>
    <w:rsid w:val="00732F6D"/>
    <w:rsid w:val="00751148"/>
    <w:rsid w:val="007930E1"/>
    <w:rsid w:val="00843A3F"/>
    <w:rsid w:val="00845EEE"/>
    <w:rsid w:val="008C1432"/>
    <w:rsid w:val="008F40C7"/>
    <w:rsid w:val="009A7D5F"/>
    <w:rsid w:val="00A25EE2"/>
    <w:rsid w:val="00A3098C"/>
    <w:rsid w:val="00A8081D"/>
    <w:rsid w:val="00A8738E"/>
    <w:rsid w:val="00A9042B"/>
    <w:rsid w:val="00AB2AC1"/>
    <w:rsid w:val="00B0572D"/>
    <w:rsid w:val="00B11A68"/>
    <w:rsid w:val="00B235BA"/>
    <w:rsid w:val="00B33145"/>
    <w:rsid w:val="00BA2B96"/>
    <w:rsid w:val="00BB0BC1"/>
    <w:rsid w:val="00C3101C"/>
    <w:rsid w:val="00C74CFB"/>
    <w:rsid w:val="00C85B4D"/>
    <w:rsid w:val="00C976DB"/>
    <w:rsid w:val="00D24F8B"/>
    <w:rsid w:val="00D65138"/>
    <w:rsid w:val="00D874FD"/>
    <w:rsid w:val="00E47971"/>
    <w:rsid w:val="00E47E41"/>
    <w:rsid w:val="00E50744"/>
    <w:rsid w:val="00E660BA"/>
    <w:rsid w:val="00EA1F0C"/>
    <w:rsid w:val="00FF225C"/>
    <w:rsid w:val="0B241C2C"/>
    <w:rsid w:val="129E6BFD"/>
    <w:rsid w:val="24D62C99"/>
    <w:rsid w:val="36B205D0"/>
    <w:rsid w:val="3C98232E"/>
    <w:rsid w:val="65724417"/>
    <w:rsid w:val="7A9D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36" w:lineRule="auto"/>
      <w:ind w:firstLineChars="200" w:firstLine="616"/>
      <w:jc w:val="both"/>
    </w:pPr>
    <w:rPr>
      <w:rFonts w:eastAsia="仿宋_GB2312"/>
      <w:kern w:val="2"/>
      <w:sz w:val="32"/>
      <w:szCs w:val="32"/>
    </w:rPr>
  </w:style>
  <w:style w:type="paragraph" w:styleId="1">
    <w:name w:val="heading 1"/>
    <w:basedOn w:val="a"/>
    <w:next w:val="a"/>
    <w:link w:val="1Char"/>
    <w:qFormat/>
    <w:pPr>
      <w:keepNext/>
      <w:keepLines/>
      <w:spacing w:line="576" w:lineRule="exact"/>
      <w:outlineLvl w:val="0"/>
    </w:pPr>
    <w:rPr>
      <w:rFonts w:asciiTheme="minorHAnsi" w:eastAsia="方正小标宋_GBK" w:hAnsiTheme="minorHAnsi"/>
      <w:b/>
      <w:kern w:val="44"/>
      <w:sz w:val="44"/>
    </w:rPr>
  </w:style>
  <w:style w:type="paragraph" w:styleId="2">
    <w:name w:val="heading 2"/>
    <w:basedOn w:val="a"/>
    <w:next w:val="a"/>
    <w:link w:val="2Char"/>
    <w:qFormat/>
    <w:pPr>
      <w:outlineLvl w:val="1"/>
    </w:pPr>
    <w:rPr>
      <w:rFonts w:eastAsia="楷体_GB2312"/>
    </w:rPr>
  </w:style>
  <w:style w:type="paragraph" w:styleId="3">
    <w:name w:val="heading 3"/>
    <w:basedOn w:val="a"/>
    <w:next w:val="a"/>
    <w:link w:val="3Char"/>
    <w:qFormat/>
    <w:pPr>
      <w:outlineLvl w:val="2"/>
    </w:pPr>
    <w:rPr>
      <w:b/>
      <w:bCs/>
    </w:rPr>
  </w:style>
  <w:style w:type="paragraph" w:styleId="4">
    <w:name w:val="heading 4"/>
    <w:basedOn w:val="a"/>
    <w:next w:val="a"/>
    <w:unhideWhenUsed/>
    <w:qFormat/>
    <w:pPr>
      <w:spacing w:line="300" w:lineRule="auto"/>
      <w:ind w:firstLineChars="0" w:firstLine="0"/>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jc w:val="left"/>
    </w:pPr>
    <w:rPr>
      <w:sz w:val="18"/>
    </w:rPr>
  </w:style>
  <w:style w:type="paragraph" w:styleId="a4">
    <w:name w:val="table of figures"/>
    <w:basedOn w:val="a"/>
    <w:next w:val="a"/>
    <w:pPr>
      <w:ind w:leftChars="200" w:left="200" w:hangingChars="200" w:hanging="200"/>
    </w:pPr>
  </w:style>
  <w:style w:type="character" w:styleId="a5">
    <w:name w:val="Hyperlink"/>
    <w:basedOn w:val="a0"/>
    <w:unhideWhenUsed/>
    <w:qFormat/>
    <w:rPr>
      <w:rFonts w:ascii="Times New Roman" w:hAnsi="Times New Roman" w:cs="Times New Roman" w:hint="default"/>
      <w:color w:val="0000FF"/>
      <w:u w:val="single"/>
    </w:rPr>
  </w:style>
  <w:style w:type="paragraph" w:customStyle="1" w:styleId="a6">
    <w:name w:val="图"/>
    <w:basedOn w:val="a4"/>
    <w:pPr>
      <w:adjustRightInd/>
      <w:snapToGrid/>
      <w:ind w:leftChars="0" w:left="0" w:firstLineChars="0" w:firstLine="0"/>
      <w:jc w:val="center"/>
    </w:pPr>
    <w:rPr>
      <w:rFonts w:ascii="Tahoma" w:eastAsia="黑体" w:hAnsi="Tahoma"/>
      <w:sz w:val="21"/>
      <w:szCs w:val="22"/>
    </w:rPr>
  </w:style>
  <w:style w:type="character" w:customStyle="1" w:styleId="3Char">
    <w:name w:val="标题 3 Char"/>
    <w:link w:val="3"/>
    <w:rPr>
      <w:b/>
      <w:bCs/>
    </w:rPr>
  </w:style>
  <w:style w:type="character" w:customStyle="1" w:styleId="1Char">
    <w:name w:val="标题 1 Char"/>
    <w:link w:val="1"/>
    <w:qFormat/>
    <w:rPr>
      <w:rFonts w:asciiTheme="minorHAnsi" w:eastAsia="方正小标宋_GBK" w:hAnsiTheme="minorHAnsi"/>
      <w:b/>
      <w:kern w:val="44"/>
      <w:sz w:val="44"/>
    </w:rPr>
  </w:style>
  <w:style w:type="character" w:customStyle="1" w:styleId="2Char">
    <w:name w:val="标题 2 Char"/>
    <w:link w:val="2"/>
    <w:rPr>
      <w:rFonts w:eastAsia="楷体_GB2312"/>
    </w:rPr>
  </w:style>
  <w:style w:type="paragraph" w:styleId="a7">
    <w:name w:val="List Paragraph"/>
    <w:basedOn w:val="a"/>
    <w:uiPriority w:val="99"/>
    <w:qFormat/>
    <w:pPr>
      <w:ind w:firstLine="420"/>
    </w:pPr>
  </w:style>
  <w:style w:type="paragraph" w:styleId="a8">
    <w:name w:val="header"/>
    <w:basedOn w:val="a"/>
    <w:link w:val="Char0"/>
    <w:rsid w:val="00A25EE2"/>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8"/>
    <w:rsid w:val="00A25EE2"/>
    <w:rPr>
      <w:rFonts w:eastAsia="仿宋_GB2312"/>
      <w:kern w:val="2"/>
      <w:sz w:val="18"/>
      <w:szCs w:val="18"/>
    </w:rPr>
  </w:style>
  <w:style w:type="paragraph" w:styleId="a9">
    <w:name w:val="Date"/>
    <w:basedOn w:val="a"/>
    <w:next w:val="a"/>
    <w:link w:val="Char1"/>
    <w:rsid w:val="00080F26"/>
    <w:pPr>
      <w:ind w:leftChars="2500" w:left="100"/>
    </w:pPr>
  </w:style>
  <w:style w:type="character" w:customStyle="1" w:styleId="Char1">
    <w:name w:val="日期 Char"/>
    <w:basedOn w:val="a0"/>
    <w:link w:val="a9"/>
    <w:rsid w:val="00080F26"/>
    <w:rPr>
      <w:rFonts w:eastAsia="仿宋_GB2312"/>
      <w:kern w:val="2"/>
      <w:sz w:val="32"/>
      <w:szCs w:val="32"/>
    </w:rPr>
  </w:style>
  <w:style w:type="character" w:customStyle="1" w:styleId="Char">
    <w:name w:val="页脚 Char"/>
    <w:basedOn w:val="a0"/>
    <w:link w:val="a3"/>
    <w:rsid w:val="00135A26"/>
    <w:rPr>
      <w:rFonts w:eastAsia="仿宋_GB2312"/>
      <w:kern w:val="2"/>
      <w:sz w:val="1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36" w:lineRule="auto"/>
      <w:ind w:firstLineChars="200" w:firstLine="616"/>
      <w:jc w:val="both"/>
    </w:pPr>
    <w:rPr>
      <w:rFonts w:eastAsia="仿宋_GB2312"/>
      <w:kern w:val="2"/>
      <w:sz w:val="32"/>
      <w:szCs w:val="32"/>
    </w:rPr>
  </w:style>
  <w:style w:type="paragraph" w:styleId="1">
    <w:name w:val="heading 1"/>
    <w:basedOn w:val="a"/>
    <w:next w:val="a"/>
    <w:link w:val="1Char"/>
    <w:qFormat/>
    <w:pPr>
      <w:keepNext/>
      <w:keepLines/>
      <w:spacing w:line="576" w:lineRule="exact"/>
      <w:outlineLvl w:val="0"/>
    </w:pPr>
    <w:rPr>
      <w:rFonts w:asciiTheme="minorHAnsi" w:eastAsia="方正小标宋_GBK" w:hAnsiTheme="minorHAnsi"/>
      <w:b/>
      <w:kern w:val="44"/>
      <w:sz w:val="44"/>
    </w:rPr>
  </w:style>
  <w:style w:type="paragraph" w:styleId="2">
    <w:name w:val="heading 2"/>
    <w:basedOn w:val="a"/>
    <w:next w:val="a"/>
    <w:link w:val="2Char"/>
    <w:qFormat/>
    <w:pPr>
      <w:outlineLvl w:val="1"/>
    </w:pPr>
    <w:rPr>
      <w:rFonts w:eastAsia="楷体_GB2312"/>
    </w:rPr>
  </w:style>
  <w:style w:type="paragraph" w:styleId="3">
    <w:name w:val="heading 3"/>
    <w:basedOn w:val="a"/>
    <w:next w:val="a"/>
    <w:link w:val="3Char"/>
    <w:qFormat/>
    <w:pPr>
      <w:outlineLvl w:val="2"/>
    </w:pPr>
    <w:rPr>
      <w:b/>
      <w:bCs/>
    </w:rPr>
  </w:style>
  <w:style w:type="paragraph" w:styleId="4">
    <w:name w:val="heading 4"/>
    <w:basedOn w:val="a"/>
    <w:next w:val="a"/>
    <w:unhideWhenUsed/>
    <w:qFormat/>
    <w:pPr>
      <w:spacing w:line="300" w:lineRule="auto"/>
      <w:ind w:firstLineChars="0" w:firstLine="0"/>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jc w:val="left"/>
    </w:pPr>
    <w:rPr>
      <w:sz w:val="18"/>
    </w:rPr>
  </w:style>
  <w:style w:type="paragraph" w:styleId="a4">
    <w:name w:val="table of figures"/>
    <w:basedOn w:val="a"/>
    <w:next w:val="a"/>
    <w:pPr>
      <w:ind w:leftChars="200" w:left="200" w:hangingChars="200" w:hanging="200"/>
    </w:pPr>
  </w:style>
  <w:style w:type="character" w:styleId="a5">
    <w:name w:val="Hyperlink"/>
    <w:basedOn w:val="a0"/>
    <w:unhideWhenUsed/>
    <w:qFormat/>
    <w:rPr>
      <w:rFonts w:ascii="Times New Roman" w:hAnsi="Times New Roman" w:cs="Times New Roman" w:hint="default"/>
      <w:color w:val="0000FF"/>
      <w:u w:val="single"/>
    </w:rPr>
  </w:style>
  <w:style w:type="paragraph" w:customStyle="1" w:styleId="a6">
    <w:name w:val="图"/>
    <w:basedOn w:val="a4"/>
    <w:pPr>
      <w:adjustRightInd/>
      <w:snapToGrid/>
      <w:ind w:leftChars="0" w:left="0" w:firstLineChars="0" w:firstLine="0"/>
      <w:jc w:val="center"/>
    </w:pPr>
    <w:rPr>
      <w:rFonts w:ascii="Tahoma" w:eastAsia="黑体" w:hAnsi="Tahoma"/>
      <w:sz w:val="21"/>
      <w:szCs w:val="22"/>
    </w:rPr>
  </w:style>
  <w:style w:type="character" w:customStyle="1" w:styleId="3Char">
    <w:name w:val="标题 3 Char"/>
    <w:link w:val="3"/>
    <w:rPr>
      <w:b/>
      <w:bCs/>
    </w:rPr>
  </w:style>
  <w:style w:type="character" w:customStyle="1" w:styleId="1Char">
    <w:name w:val="标题 1 Char"/>
    <w:link w:val="1"/>
    <w:qFormat/>
    <w:rPr>
      <w:rFonts w:asciiTheme="minorHAnsi" w:eastAsia="方正小标宋_GBK" w:hAnsiTheme="minorHAnsi"/>
      <w:b/>
      <w:kern w:val="44"/>
      <w:sz w:val="44"/>
    </w:rPr>
  </w:style>
  <w:style w:type="character" w:customStyle="1" w:styleId="2Char">
    <w:name w:val="标题 2 Char"/>
    <w:link w:val="2"/>
    <w:rPr>
      <w:rFonts w:eastAsia="楷体_GB2312"/>
    </w:rPr>
  </w:style>
  <w:style w:type="paragraph" w:styleId="a7">
    <w:name w:val="List Paragraph"/>
    <w:basedOn w:val="a"/>
    <w:uiPriority w:val="99"/>
    <w:qFormat/>
    <w:pPr>
      <w:ind w:firstLine="420"/>
    </w:pPr>
  </w:style>
  <w:style w:type="paragraph" w:styleId="a8">
    <w:name w:val="header"/>
    <w:basedOn w:val="a"/>
    <w:link w:val="Char0"/>
    <w:rsid w:val="00A25EE2"/>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8"/>
    <w:rsid w:val="00A25EE2"/>
    <w:rPr>
      <w:rFonts w:eastAsia="仿宋_GB2312"/>
      <w:kern w:val="2"/>
      <w:sz w:val="18"/>
      <w:szCs w:val="18"/>
    </w:rPr>
  </w:style>
  <w:style w:type="paragraph" w:styleId="a9">
    <w:name w:val="Date"/>
    <w:basedOn w:val="a"/>
    <w:next w:val="a"/>
    <w:link w:val="Char1"/>
    <w:rsid w:val="00080F26"/>
    <w:pPr>
      <w:ind w:leftChars="2500" w:left="100"/>
    </w:pPr>
  </w:style>
  <w:style w:type="character" w:customStyle="1" w:styleId="Char1">
    <w:name w:val="日期 Char"/>
    <w:basedOn w:val="a0"/>
    <w:link w:val="a9"/>
    <w:rsid w:val="00080F26"/>
    <w:rPr>
      <w:rFonts w:eastAsia="仿宋_GB2312"/>
      <w:kern w:val="2"/>
      <w:sz w:val="32"/>
      <w:szCs w:val="32"/>
    </w:rPr>
  </w:style>
  <w:style w:type="character" w:customStyle="1" w:styleId="Char">
    <w:name w:val="页脚 Char"/>
    <w:basedOn w:val="a0"/>
    <w:link w:val="a3"/>
    <w:rsid w:val="00135A26"/>
    <w:rPr>
      <w:rFonts w:eastAsia="仿宋_GB2312"/>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2816</Words>
  <Characters>180</Characters>
  <Application>Microsoft Office Word</Application>
  <DocSecurity>0</DocSecurity>
  <Lines>1</Lines>
  <Paragraphs>5</Paragraphs>
  <ScaleCrop>false</ScaleCrop>
  <Company>Lenovo</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Candyall</dc:creator>
  <cp:lastModifiedBy>bgszy</cp:lastModifiedBy>
  <cp:revision>33</cp:revision>
  <dcterms:created xsi:type="dcterms:W3CDTF">2021-04-25T06:22:00Z</dcterms:created>
  <dcterms:modified xsi:type="dcterms:W3CDTF">2021-04-30T07:16:00Z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E0F6FC1EBA6B4534A425A8228DBA6327</vt:lpwstr>
  </property>
  <property fmtid="{D5CDD505-2E9C-101B-9397-08002B2CF9AE}" pid="4" name="KSOSaveFontToCloudKey">
    <vt:lpwstr>666170372_btnclosed</vt:lpwstr>
  </property>
</Properties>
</file>